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1.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otnotes.xml" ContentType="application/vnd.openxmlformats-officedocument.wordprocessingml.footnotes+xml"/>
  <Override PartName="/word/styles.xml" ContentType="application/vnd.openxmlformats-officedocument.wordprocessingml.styles+xml"/>
  <Override PartName="/customXml/itemProps1.xml" ContentType="application/vnd.openxmlformats-officedocument.customXmlProperti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center"/>
        <w:rPr>
          <w:rFonts w:ascii="宋体" w:hAnsi="宋体" w:cs="宋体"/>
          <w:b/>
          <w:sz w:val="84"/>
        </w:rPr>
      </w:pPr>
      <w:r>
        <w:rPr>
          <w:highlight w:val="none"/>
        </w:rPr>
        <w:t xml:space="preserve"> </w:t>
      </w:r>
      <w:r/>
    </w:p>
    <w:p>
      <w:pPr>
        <w:jc w:val="center"/>
        <w:rPr>
          <w:rFonts w:hint="eastAsia" w:ascii="宋体" w:hAnsi="宋体" w:cs="宋体"/>
          <w:b/>
          <w:sz w:val="84"/>
          <w:szCs w:val="84"/>
        </w:rPr>
      </w:pPr>
      <w:r>
        <w:rPr>
          <w:rFonts w:hint="eastAsia" w:ascii="宋体" w:hAnsi="宋体" w:cs="宋体"/>
          <w:b/>
          <w:sz w:val="84"/>
          <w:szCs w:val="84"/>
        </w:rPr>
      </w:r>
      <w:r/>
    </w:p>
    <w:p>
      <w:pPr>
        <w:jc w:val="center"/>
        <w:rPr>
          <w:rFonts w:ascii="宋体" w:hAnsi="宋体" w:cs="宋体"/>
          <w:b/>
          <w:sz w:val="84"/>
          <w:szCs w:val="84"/>
        </w:rPr>
      </w:pPr>
      <w:r>
        <w:rPr>
          <w:rFonts w:hint="eastAsia" w:ascii="宋体" w:hAnsi="宋体" w:cs="宋体"/>
          <w:b/>
          <w:sz w:val="84"/>
          <w:szCs w:val="84"/>
        </w:rPr>
        <w:t xml:space="preserve">招 标 文 件</w:t>
      </w:r>
      <w:r/>
    </w:p>
    <w:p>
      <w:pPr>
        <w:rPr>
          <w:rFonts w:ascii="宋体" w:hAnsi="宋体" w:cs="宋体"/>
          <w:b/>
          <w:sz w:val="32"/>
        </w:rPr>
      </w:pPr>
      <w:r>
        <w:rPr>
          <w:rFonts w:ascii="宋体" w:hAnsi="宋体" w:cs="宋体"/>
          <w:b/>
          <w:sz w:val="32"/>
        </w:rPr>
      </w:r>
      <w:r/>
    </w:p>
    <w:p>
      <w:pPr>
        <w:jc w:val="both"/>
        <w:rPr>
          <w:rFonts w:hint="eastAsia" w:ascii="宋体" w:hAnsi="宋体" w:cs="宋体"/>
          <w:b/>
          <w:color w:val="000000"/>
          <w:sz w:val="36"/>
          <w:szCs w:val="36"/>
        </w:rPr>
        <w:pBdr>
          <w:top w:val="none" w:color="000000" w:sz="0" w:space="0"/>
          <w:left w:val="none" w:color="000000" w:sz="0" w:space="0"/>
          <w:bottom w:val="none" w:color="000000" w:sz="0" w:space="0"/>
          <w:right w:val="none" w:color="000000" w:sz="0" w:space="0"/>
        </w:pBdr>
      </w:pPr>
      <w:r>
        <w:rPr>
          <w:rFonts w:hint="eastAsia" w:ascii="宋体" w:hAnsi="宋体" w:cs="宋体"/>
          <w:b/>
          <w:color w:val="f9fbfa"/>
          <w:sz w:val="36"/>
          <w:szCs w:val="36"/>
        </w:rPr>
        <w:t xml:space="preserve"> </w:t>
      </w:r>
      <w:r>
        <w:rPr>
          <w:rFonts w:hint="eastAsia" w:ascii="宋体" w:hAnsi="宋体" w:cs="宋体"/>
          <w:b/>
          <w:color w:val="000000"/>
          <w:sz w:val="36"/>
          <w:szCs w:val="36"/>
        </w:rPr>
        <w:t xml:space="preserve"> </w:t>
      </w:r>
      <w:r/>
    </w:p>
    <w:p>
      <w:pPr>
        <w:jc w:val="center"/>
        <w:rPr>
          <w:rFonts w:hint="eastAsia" w:ascii="宋体" w:hAnsi="宋体" w:cs="宋体"/>
          <w:b/>
          <w:color w:val="000000"/>
          <w:sz w:val="36"/>
          <w:szCs w:val="36"/>
        </w:rPr>
        <w:pBdr>
          <w:top w:val="none" w:color="000000" w:sz="0" w:space="0"/>
          <w:left w:val="none" w:color="000000" w:sz="0" w:space="0"/>
          <w:bottom w:val="none" w:color="000000" w:sz="0" w:space="0"/>
          <w:right w:val="none" w:color="000000" w:sz="0" w:space="0"/>
        </w:pBdr>
      </w:pPr>
      <w:r>
        <w:rPr>
          <w:rFonts w:hint="eastAsia" w:ascii="宋体" w:hAnsi="宋体" w:cs="宋体"/>
          <w:b/>
          <w:color w:val="000000"/>
          <w:sz w:val="36"/>
          <w:szCs w:val="36"/>
        </w:rPr>
      </w:r>
      <w:r/>
    </w:p>
    <w:p>
      <w:pPr>
        <w:jc w:val="center"/>
        <w:spacing w:line="800" w:lineRule="exact"/>
        <w:widowControl/>
        <w:rPr>
          <w:rFonts w:hint="eastAsia" w:ascii="宋体" w:hAnsi="宋体" w:eastAsia="宋体" w:cs="宋体"/>
          <w:sz w:val="44"/>
          <w:szCs w:val="44"/>
          <w:lang w:eastAsia="zh-CN"/>
        </w:rPr>
      </w:pPr>
      <w:r>
        <w:rPr>
          <w:rFonts w:hint="eastAsia" w:ascii="宋体" w:hAnsi="宋体" w:cs="宋体"/>
          <w:b/>
          <w:bCs/>
          <w:sz w:val="36"/>
          <w:szCs w:val="36"/>
        </w:rPr>
        <w:t xml:space="preserve">项目名称：</w:t>
      </w:r>
      <w:r>
        <w:rPr>
          <w:rFonts w:hint="eastAsia" w:ascii="宋体" w:hAnsi="宋体" w:cs="宋体"/>
          <w:b/>
          <w:bCs/>
          <w:sz w:val="36"/>
          <w:szCs w:val="36"/>
          <w:lang w:eastAsia="zh-CN"/>
        </w:rPr>
        <w:t xml:space="preserve">射阳县发展和改革委员会“3+3”网电体系建设采购及安装项目</w:t>
      </w:r>
      <w:r/>
    </w:p>
    <w:p>
      <w:pPr>
        <w:rPr>
          <w:rFonts w:ascii="宋体" w:hAnsi="宋体" w:cs="宋体"/>
          <w:sz w:val="15"/>
          <w:szCs w:val="15"/>
        </w:rPr>
      </w:pPr>
      <w:r>
        <w:rPr>
          <w:rFonts w:ascii="宋体" w:hAnsi="宋体" w:cs="宋体"/>
          <w:sz w:val="15"/>
          <w:szCs w:val="15"/>
        </w:rPr>
      </w:r>
      <w:r/>
    </w:p>
    <w:p>
      <w:pPr>
        <w:ind w:left="0" w:firstLine="119"/>
        <w:jc w:val="left"/>
        <w:rPr>
          <w:rFonts w:hint="eastAsia" w:ascii="宋体" w:hAnsi="宋体" w:cs="宋体"/>
          <w:b/>
          <w:color w:val="000000"/>
          <w:sz w:val="36"/>
          <w:szCs w:val="36"/>
        </w:rPr>
      </w:pPr>
      <w:r>
        <w:rPr>
          <w:rFonts w:ascii="宋体" w:hAnsi="宋体" w:cs="宋体"/>
          <w:b/>
          <w:color w:val="000000"/>
          <w:sz w:val="36"/>
          <w:szCs w:val="36"/>
        </w:rPr>
        <w:t xml:space="preserve">项目编号：JSZC-320924-HTGC-G2025-0023</w:t>
      </w:r>
      <w:r/>
    </w:p>
    <w:p>
      <w:pPr>
        <w:pStyle w:val="858"/>
      </w:pPr>
      <w:r/>
      <w:r/>
    </w:p>
    <w:p>
      <w:pPr>
        <w:pStyle w:val="852"/>
        <w:rPr>
          <w:rFonts w:ascii="宋体" w:hAnsi="宋体" w:eastAsia="宋体" w:cs="宋体"/>
        </w:rPr>
      </w:pPr>
      <w:r>
        <w:rPr>
          <w:rFonts w:ascii="宋体" w:hAnsi="宋体" w:eastAsia="宋体" w:cs="宋体"/>
        </w:rPr>
      </w:r>
      <w:r/>
    </w:p>
    <w:p>
      <w:pPr>
        <w:jc w:val="center"/>
        <w:spacing w:line="900" w:lineRule="exact"/>
        <w:rPr>
          <w:rFonts w:ascii="宋体" w:hAnsi="宋体" w:cs="宋体"/>
          <w:b/>
          <w:sz w:val="44"/>
          <w:szCs w:val="44"/>
        </w:rPr>
      </w:pPr>
      <w:r>
        <w:rPr>
          <w:rFonts w:ascii="宋体" w:hAnsi="宋体" w:cs="宋体"/>
          <w:b/>
          <w:sz w:val="44"/>
          <w:szCs w:val="44"/>
        </w:rPr>
      </w:r>
      <w:r/>
    </w:p>
    <w:p>
      <w:pPr>
        <w:pStyle w:val="858"/>
        <w:ind w:left="0" w:firstLine="0"/>
        <w:jc w:val="center"/>
        <w:spacing w:before="120"/>
        <w:rPr>
          <w:rFonts w:hint="eastAsia" w:ascii="宋体" w:hAnsi="宋体" w:cs="宋体"/>
          <w:b/>
          <w:sz w:val="36"/>
          <w:szCs w:val="36"/>
          <w:lang w:eastAsia="zh-CN"/>
        </w:rPr>
      </w:pPr>
      <w:r>
        <w:rPr>
          <w:rFonts w:hint="eastAsia" w:ascii="宋体" w:hAnsi="宋体" w:cs="宋体"/>
          <w:b/>
          <w:spacing w:val="18"/>
          <w:sz w:val="36"/>
          <w:szCs w:val="36"/>
          <w:lang w:eastAsia="zh-CN"/>
        </w:rPr>
        <w:t xml:space="preserve">射阳县发展和改革委员</w:t>
      </w:r>
      <w:r>
        <w:rPr>
          <w:rFonts w:hint="eastAsia" w:ascii="宋体" w:hAnsi="宋体" w:cs="宋体"/>
          <w:b/>
          <w:spacing w:val="0"/>
          <w:sz w:val="36"/>
          <w:szCs w:val="36"/>
          <w:lang w:eastAsia="zh-CN"/>
        </w:rPr>
        <w:t xml:space="preserve">会</w:t>
      </w:r>
      <w:r/>
    </w:p>
    <w:p>
      <w:pPr>
        <w:pStyle w:val="858"/>
        <w:ind w:left="0" w:firstLine="0"/>
        <w:jc w:val="center"/>
        <w:spacing w:before="120"/>
        <w:rPr>
          <w:rFonts w:hint="eastAsia" w:ascii="宋体" w:hAnsi="宋体" w:cs="宋体"/>
          <w:lang w:eastAsia="zh-CN"/>
        </w:rPr>
      </w:pPr>
      <w:r>
        <w:rPr>
          <w:rFonts w:hint="eastAsia" w:ascii="宋体" w:hAnsi="宋体" w:cs="宋体"/>
          <w:b/>
          <w:sz w:val="36"/>
          <w:szCs w:val="36"/>
          <w:lang w:eastAsia="zh-CN"/>
        </w:rPr>
        <w:t xml:space="preserve">江苏宏天工程管理有限公司</w:t>
      </w:r>
      <w:r/>
    </w:p>
    <w:p>
      <w:pPr>
        <w:pStyle w:val="857"/>
        <w:ind w:firstLine="0"/>
        <w:jc w:val="center"/>
        <w:rPr>
          <w:rFonts w:hint="eastAsia" w:ascii="宋体" w:hAnsi="宋体" w:cs="宋体"/>
          <w:b/>
          <w:sz w:val="44"/>
        </w:rPr>
      </w:pPr>
      <w:r>
        <w:rPr>
          <w:rFonts w:hint="eastAsia" w:ascii="宋体" w:hAnsi="宋体" w:cs="宋体"/>
          <w:b/>
          <w:sz w:val="36"/>
          <w:szCs w:val="36"/>
        </w:rPr>
        <w:t xml:space="preserve">202</w:t>
      </w:r>
      <w:r>
        <w:rPr>
          <w:rFonts w:hint="eastAsia" w:ascii="宋体" w:hAnsi="宋体" w:cs="宋体"/>
          <w:b/>
          <w:sz w:val="36"/>
          <w:szCs w:val="36"/>
          <w:lang w:val="en-US" w:eastAsia="zh-CN"/>
        </w:rPr>
        <w:t xml:space="preserve">5</w:t>
      </w:r>
      <w:r>
        <w:rPr>
          <w:rFonts w:hint="eastAsia" w:ascii="宋体" w:hAnsi="宋体" w:cs="宋体"/>
          <w:b/>
          <w:sz w:val="36"/>
          <w:szCs w:val="36"/>
        </w:rPr>
        <w:t xml:space="preserve">年</w:t>
      </w:r>
      <w:r>
        <w:rPr>
          <w:rFonts w:hint="eastAsia" w:ascii="宋体" w:hAnsi="宋体" w:cs="宋体"/>
          <w:b/>
          <w:sz w:val="36"/>
          <w:szCs w:val="36"/>
          <w:lang w:val="en-US" w:eastAsia="zh-CN"/>
        </w:rPr>
        <w:t xml:space="preserve">11</w:t>
      </w:r>
      <w:r>
        <w:rPr>
          <w:rFonts w:hint="eastAsia" w:ascii="宋体" w:hAnsi="宋体" w:cs="宋体"/>
          <w:b/>
          <w:sz w:val="36"/>
          <w:szCs w:val="36"/>
        </w:rPr>
        <w:t xml:space="preserve">月</w:t>
      </w:r>
      <w:r/>
    </w:p>
    <w:p>
      <w:pPr>
        <w:jc w:val="center"/>
        <w:rPr>
          <w:rFonts w:hint="eastAsia" w:ascii="宋体" w:hAnsi="宋体" w:cs="宋体"/>
          <w:b/>
          <w:sz w:val="44"/>
        </w:rPr>
        <w:outlineLvl w:val="0"/>
      </w:pPr>
      <w:r>
        <w:rPr>
          <w:rFonts w:hint="eastAsia" w:ascii="宋体" w:hAnsi="宋体" w:cs="宋体"/>
          <w:b/>
          <w:sz w:val="44"/>
        </w:rPr>
      </w:r>
      <w:r/>
    </w:p>
    <w:p>
      <w:pPr>
        <w:pStyle w:val="860"/>
        <w:rPr>
          <w:rFonts w:hint="eastAsia"/>
        </w:rPr>
      </w:pPr>
      <w:r>
        <w:rPr>
          <w:rFonts w:hint="eastAsia"/>
        </w:rPr>
      </w:r>
      <w:r/>
    </w:p>
    <w:p>
      <w:pPr>
        <w:jc w:val="center"/>
        <w:rPr>
          <w:rFonts w:hint="eastAsia" w:ascii="宋体" w:hAnsi="宋体" w:cs="宋体"/>
          <w:b/>
          <w:sz w:val="44"/>
        </w:rPr>
        <w:sectPr>
          <w:footnotePr/>
          <w:endnotePr/>
          <w:type w:val="nextPage"/>
          <w:pgSz w:w="11906" w:h="16838" w:orient="portrait"/>
          <w:pgMar w:top="1440" w:right="1800" w:bottom="1440" w:left="1800" w:header="851" w:footer="992" w:gutter="0"/>
          <w:cols w:num="1" w:sep="0" w:space="425" w:equalWidth="1"/>
          <w:docGrid w:linePitch="360"/>
        </w:sectPr>
        <w:outlineLvl w:val="0"/>
      </w:pPr>
      <w:r>
        <w:rPr>
          <w:rFonts w:hint="eastAsia" w:ascii="宋体" w:hAnsi="宋体" w:cs="宋体"/>
          <w:b/>
          <w:sz w:val="44"/>
        </w:rPr>
      </w:r>
      <w:r/>
    </w:p>
    <w:p>
      <w:pPr>
        <w:pStyle w:val="860"/>
        <w:rPr>
          <w:rFonts w:hint="eastAsia"/>
        </w:rPr>
      </w:pPr>
      <w:r>
        <w:rPr>
          <w:rFonts w:hint="eastAsia"/>
        </w:rPr>
      </w:r>
      <w:r/>
    </w:p>
    <w:p>
      <w:pPr>
        <w:pStyle w:val="856"/>
        <w:jc w:val="center"/>
        <w:spacing w:beforeAutospacing="0" w:afterAutospacing="0" w:line="480" w:lineRule="auto"/>
        <w:rPr>
          <w:highlight w:val="none"/>
        </w:rPr>
      </w:pPr>
      <w:r>
        <w:rPr>
          <w:rFonts w:ascii="Times New Roman" w:hAnsi="Times New Roman"/>
          <w:color w:val="000000"/>
          <w:sz w:val="21"/>
          <w:szCs w:val="21"/>
          <w:highlight w:val="none"/>
        </w:rPr>
        <w:t xml:space="preserve"> </w:t>
      </w:r>
      <w:bookmarkStart w:id="0" w:name="_Toc20823272"/>
      <w:r/>
      <w:bookmarkStart w:id="1" w:name="_Toc120614210"/>
      <w:r/>
      <w:bookmarkStart w:id="2" w:name="_Toc523127445"/>
      <w:r/>
      <w:bookmarkStart w:id="3" w:name="_Toc16938516"/>
      <w:r/>
      <w:bookmarkStart w:id="4" w:name="_Toc513029200"/>
      <w:r/>
      <w:bookmarkStart w:id="5" w:name="_Toc479757206"/>
      <w:r>
        <w:rPr>
          <w:rFonts w:ascii="黑体" w:hAnsi="宋体" w:eastAsia="黑体" w:cs="黑体"/>
          <w:b/>
          <w:color w:val="000000"/>
          <w:sz w:val="44"/>
          <w:szCs w:val="44"/>
          <w:highlight w:val="none"/>
        </w:rPr>
        <w:t xml:space="preserve">总  目  录</w:t>
      </w:r>
      <w:bookmarkEnd w:id="0"/>
      <w:r/>
      <w:bookmarkEnd w:id="1"/>
      <w:r/>
      <w:bookmarkEnd w:id="2"/>
      <w:r/>
      <w:bookmarkEnd w:id="3"/>
      <w:r/>
      <w:bookmarkEnd w:id="4"/>
      <w:r/>
      <w:bookmarkEnd w:id="5"/>
      <w:r/>
      <w:r/>
    </w:p>
    <w:p>
      <w:pPr>
        <w:pStyle w:val="856"/>
        <w:jc w:val="both"/>
        <w:spacing w:beforeAutospacing="0" w:afterAutospacing="0" w:line="480" w:lineRule="auto"/>
        <w:rPr>
          <w:highlight w:val="none"/>
        </w:rPr>
      </w:pPr>
      <w:r>
        <w:rPr>
          <w:highlight w:val="none"/>
        </w:rPr>
        <w:t xml:space="preserve"> </w:t>
      </w:r>
      <w:r/>
    </w:p>
    <w:p>
      <w:pPr>
        <w:pStyle w:val="856"/>
        <w:ind w:left="2160" w:hanging="1440"/>
        <w:jc w:val="both"/>
        <w:spacing w:beforeAutospacing="0" w:afterAutospacing="0" w:line="480" w:lineRule="auto"/>
        <w:tabs>
          <w:tab w:val="left" w:pos="1441" w:leader="none"/>
        </w:tabs>
        <w:rPr>
          <w:highlight w:val="none"/>
        </w:rPr>
      </w:pPr>
      <w:r>
        <w:rPr>
          <w:rFonts w:hint="eastAsia" w:ascii="黑体" w:hAnsi="宋体" w:eastAsia="黑体" w:cs="黑体"/>
          <w:color w:val="000000"/>
          <w:sz w:val="36"/>
          <w:szCs w:val="36"/>
          <w:highlight w:val="none"/>
          <w:lang w:val="en-US" w:eastAsia="zh-CN"/>
        </w:rPr>
        <w:t xml:space="preserve">招标公告</w:t>
      </w:r>
      <w:r>
        <w:rPr>
          <w:rFonts w:hint="eastAsia" w:ascii="黑体" w:hAnsi="宋体" w:eastAsia="黑体" w:cs="黑体"/>
          <w:color w:val="000000"/>
          <w:sz w:val="36"/>
          <w:szCs w:val="36"/>
          <w:highlight w:val="none"/>
        </w:rPr>
        <w:t xml:space="preserve">……………………………………</w:t>
      </w:r>
      <w:r>
        <w:rPr>
          <w:rFonts w:hint="eastAsia" w:ascii="黑体" w:hAnsi="宋体" w:eastAsia="黑体" w:cs="黑体"/>
          <w:color w:val="000000"/>
          <w:sz w:val="36"/>
          <w:szCs w:val="36"/>
          <w:highlight w:val="none"/>
          <w:lang w:val="en-US" w:eastAsia="zh-CN"/>
        </w:rPr>
        <w:t xml:space="preserve">2</w:t>
      </w:r>
      <w:r>
        <w:rPr>
          <w:rFonts w:hint="eastAsia" w:ascii="黑体" w:hAnsi="宋体" w:eastAsia="黑体" w:cs="黑体"/>
          <w:color w:val="000000"/>
          <w:sz w:val="36"/>
          <w:szCs w:val="36"/>
          <w:highlight w:val="none"/>
        </w:rPr>
        <w:t xml:space="preserve"> </w:t>
      </w:r>
      <w:r/>
    </w:p>
    <w:p>
      <w:pPr>
        <w:pStyle w:val="856"/>
        <w:ind w:left="2160" w:hanging="1440"/>
        <w:jc w:val="both"/>
        <w:spacing w:beforeAutospacing="0" w:afterAutospacing="0" w:line="480" w:lineRule="auto"/>
        <w:tabs>
          <w:tab w:val="left" w:pos="1441" w:leader="none"/>
        </w:tabs>
        <w:rPr>
          <w:highlight w:val="none"/>
        </w:rPr>
      </w:pPr>
      <w:r>
        <w:rPr>
          <w:rFonts w:hint="eastAsia" w:ascii="黑体" w:hAnsi="宋体" w:eastAsia="黑体" w:cs="黑体"/>
          <w:color w:val="000000"/>
          <w:sz w:val="36"/>
          <w:szCs w:val="36"/>
          <w:highlight w:val="none"/>
        </w:rPr>
        <w:t xml:space="preserve">投标人须知…………………………………</w:t>
      </w:r>
      <w:r>
        <w:rPr>
          <w:rFonts w:hint="eastAsia" w:ascii="黑体" w:hAnsi="宋体" w:eastAsia="黑体" w:cs="黑体"/>
          <w:color w:val="000000"/>
          <w:sz w:val="36"/>
          <w:szCs w:val="36"/>
          <w:highlight w:val="none"/>
          <w:lang w:val="en-US" w:eastAsia="zh-CN"/>
        </w:rPr>
        <w:t xml:space="preserve">5</w:t>
      </w:r>
      <w:r>
        <w:rPr>
          <w:rFonts w:hint="eastAsia" w:ascii="黑体" w:hAnsi="宋体" w:eastAsia="黑体" w:cs="黑体"/>
          <w:color w:val="000000"/>
          <w:sz w:val="36"/>
          <w:szCs w:val="36"/>
          <w:highlight w:val="none"/>
        </w:rPr>
        <w:t xml:space="preserve">  </w:t>
      </w:r>
      <w:r/>
    </w:p>
    <w:p>
      <w:pPr>
        <w:pStyle w:val="856"/>
        <w:ind w:left="2160" w:hanging="1440"/>
        <w:jc w:val="both"/>
        <w:spacing w:beforeAutospacing="0" w:afterAutospacing="0" w:line="480" w:lineRule="auto"/>
        <w:tabs>
          <w:tab w:val="left" w:pos="1441" w:leader="none"/>
        </w:tabs>
        <w:rPr>
          <w:rFonts w:hint="default" w:eastAsia="黑体"/>
          <w:highlight w:val="none"/>
          <w:lang w:val="en-US" w:eastAsia="zh-CN"/>
        </w:rPr>
      </w:pPr>
      <w:r>
        <w:rPr>
          <w:rFonts w:hint="eastAsia" w:ascii="黑体" w:hAnsi="宋体" w:eastAsia="黑体" w:cs="黑体"/>
          <w:color w:val="000000"/>
          <w:sz w:val="36"/>
          <w:szCs w:val="36"/>
          <w:highlight w:val="none"/>
        </w:rPr>
        <w:t xml:space="preserve">合同文本……………………………………</w:t>
      </w:r>
      <w:r>
        <w:rPr>
          <w:rFonts w:hint="eastAsia" w:ascii="黑体" w:hAnsi="宋体" w:eastAsia="黑体" w:cs="黑体"/>
          <w:color w:val="000000"/>
          <w:sz w:val="36"/>
          <w:szCs w:val="36"/>
          <w:highlight w:val="none"/>
          <w:lang w:val="en-US" w:eastAsia="zh-CN"/>
        </w:rPr>
        <w:t xml:space="preserve">20</w:t>
      </w:r>
      <w:r/>
    </w:p>
    <w:p>
      <w:pPr>
        <w:pStyle w:val="856"/>
        <w:ind w:left="2160" w:hanging="1440"/>
        <w:jc w:val="both"/>
        <w:spacing w:beforeAutospacing="0" w:afterAutospacing="0" w:line="480" w:lineRule="auto"/>
        <w:tabs>
          <w:tab w:val="left" w:pos="1441" w:leader="none"/>
        </w:tabs>
        <w:rPr>
          <w:rFonts w:hint="default" w:eastAsia="黑体"/>
          <w:highlight w:val="none"/>
          <w:lang w:val="en-US" w:eastAsia="zh-CN"/>
        </w:rPr>
      </w:pPr>
      <w:r>
        <w:rPr>
          <w:rFonts w:hint="eastAsia" w:ascii="黑体" w:hAnsi="宋体" w:eastAsia="黑体" w:cs="黑体"/>
          <w:color w:val="000000"/>
          <w:sz w:val="36"/>
          <w:szCs w:val="36"/>
          <w:highlight w:val="none"/>
        </w:rPr>
        <w:t xml:space="preserve">采购需求……………………………………</w:t>
      </w:r>
      <w:r>
        <w:rPr>
          <w:rFonts w:hint="eastAsia" w:ascii="黑体" w:hAnsi="宋体" w:eastAsia="黑体" w:cs="黑体"/>
          <w:color w:val="000000"/>
          <w:sz w:val="36"/>
          <w:szCs w:val="36"/>
          <w:highlight w:val="none"/>
          <w:lang w:val="en-US" w:eastAsia="zh-CN"/>
        </w:rPr>
        <w:t xml:space="preserve">26</w:t>
      </w:r>
      <w:r/>
    </w:p>
    <w:p>
      <w:pPr>
        <w:pStyle w:val="856"/>
        <w:ind w:left="2160" w:hanging="1440"/>
        <w:jc w:val="both"/>
        <w:spacing w:beforeAutospacing="0" w:afterAutospacing="0" w:line="480" w:lineRule="auto"/>
        <w:tabs>
          <w:tab w:val="left" w:pos="1441" w:leader="none"/>
        </w:tabs>
        <w:rPr>
          <w:rFonts w:hint="default" w:eastAsia="黑体"/>
          <w:highlight w:val="none"/>
          <w:lang w:val="en-US" w:eastAsia="zh-CN"/>
        </w:rPr>
      </w:pPr>
      <w:r>
        <w:rPr>
          <w:rFonts w:hint="eastAsia" w:ascii="黑体" w:hAnsi="宋体" w:eastAsia="黑体" w:cs="黑体"/>
          <w:color w:val="000000"/>
          <w:sz w:val="36"/>
          <w:szCs w:val="36"/>
          <w:highlight w:val="none"/>
        </w:rPr>
        <w:t xml:space="preserve">评标方法与评标标准………………………</w:t>
      </w:r>
      <w:r>
        <w:rPr>
          <w:rFonts w:hint="eastAsia" w:ascii="黑体" w:hAnsi="宋体" w:eastAsia="黑体" w:cs="黑体"/>
          <w:color w:val="000000"/>
          <w:sz w:val="36"/>
          <w:szCs w:val="36"/>
          <w:highlight w:val="none"/>
          <w:lang w:val="en-US" w:eastAsia="zh-CN"/>
        </w:rPr>
        <w:t xml:space="preserve">39</w:t>
      </w:r>
      <w:r/>
    </w:p>
    <w:p>
      <w:pPr>
        <w:pStyle w:val="856"/>
        <w:ind w:left="2160" w:hanging="1440"/>
        <w:jc w:val="both"/>
        <w:spacing w:beforeAutospacing="0" w:afterAutospacing="0" w:line="480" w:lineRule="auto"/>
        <w:tabs>
          <w:tab w:val="left" w:pos="1441" w:leader="none"/>
        </w:tabs>
        <w:rPr>
          <w:rFonts w:hint="default" w:eastAsia="黑体"/>
          <w:highlight w:val="none"/>
          <w:lang w:val="en-US" w:eastAsia="zh-CN"/>
        </w:rPr>
      </w:pPr>
      <w:r>
        <w:rPr>
          <w:rFonts w:hint="eastAsia" w:ascii="黑体" w:hAnsi="宋体" w:eastAsia="黑体" w:cs="黑体"/>
          <w:color w:val="000000"/>
          <w:sz w:val="36"/>
          <w:szCs w:val="36"/>
          <w:highlight w:val="none"/>
        </w:rPr>
        <w:t xml:space="preserve">投标文件格式………………………………</w:t>
      </w:r>
      <w:r>
        <w:rPr>
          <w:rFonts w:hint="eastAsia" w:ascii="黑体" w:hAnsi="宋体" w:eastAsia="黑体" w:cs="黑体"/>
          <w:color w:val="000000"/>
          <w:sz w:val="36"/>
          <w:szCs w:val="36"/>
          <w:highlight w:val="none"/>
          <w:lang w:val="en-US" w:eastAsia="zh-CN"/>
        </w:rPr>
        <w:t xml:space="preserve">43</w:t>
      </w:r>
      <w:r/>
    </w:p>
    <w:p>
      <w:pPr>
        <w:pStyle w:val="856"/>
        <w:jc w:val="both"/>
        <w:spacing w:beforeAutospacing="0" w:afterAutospacing="0"/>
        <w:rPr>
          <w:highlight w:val="none"/>
        </w:rPr>
      </w:pPr>
      <w:r>
        <w:rPr>
          <w:highlight w:val="none"/>
        </w:rPr>
        <w:t xml:space="preserve"> </w:t>
      </w:r>
      <w:r/>
    </w:p>
    <w:p>
      <w:pPr>
        <w:pStyle w:val="856"/>
        <w:jc w:val="both"/>
        <w:spacing w:beforeAutospacing="0" w:afterAutospacing="0"/>
        <w:rPr>
          <w:highlight w:val="none"/>
        </w:rPr>
      </w:pPr>
      <w:r>
        <w:rPr>
          <w:highlight w:val="none"/>
        </w:rPr>
        <w:t xml:space="preserve"> </w:t>
      </w:r>
      <w:r/>
    </w:p>
    <w:p>
      <w:pPr>
        <w:pStyle w:val="856"/>
        <w:jc w:val="both"/>
        <w:spacing w:beforeAutospacing="0" w:afterAutospacing="0"/>
        <w:rPr>
          <w:highlight w:val="none"/>
        </w:rPr>
      </w:pPr>
      <w:r>
        <w:rPr>
          <w:highlight w:val="none"/>
        </w:rPr>
        <w:t xml:space="preserve"> </w:t>
      </w:r>
      <w:r/>
    </w:p>
    <w:p>
      <w:pPr>
        <w:pStyle w:val="856"/>
        <w:jc w:val="both"/>
        <w:spacing w:beforeAutospacing="0" w:afterAutospacing="0"/>
        <w:rPr>
          <w:highlight w:val="none"/>
        </w:rPr>
      </w:pPr>
      <w:r>
        <w:rPr>
          <w:highlight w:val="none"/>
        </w:rPr>
        <w:t xml:space="preserve"> </w:t>
      </w:r>
      <w:r/>
    </w:p>
    <w:p>
      <w:pPr>
        <w:pStyle w:val="856"/>
        <w:jc w:val="both"/>
        <w:spacing w:beforeAutospacing="0" w:afterAutospacing="0"/>
        <w:rPr>
          <w:highlight w:val="none"/>
        </w:rPr>
      </w:pPr>
      <w:r>
        <w:rPr>
          <w:highlight w:val="none"/>
        </w:rPr>
        <w:t xml:space="preserve"> </w:t>
      </w:r>
      <w:r/>
    </w:p>
    <w:p>
      <w:pPr>
        <w:pStyle w:val="856"/>
        <w:jc w:val="both"/>
        <w:spacing w:beforeAutospacing="0" w:afterAutospacing="0"/>
        <w:rPr>
          <w:highlight w:val="none"/>
        </w:rPr>
      </w:pPr>
      <w:r>
        <w:rPr>
          <w:highlight w:val="none"/>
        </w:rPr>
        <w:t xml:space="preserve"> </w:t>
      </w:r>
      <w:r/>
    </w:p>
    <w:p>
      <w:pPr>
        <w:pStyle w:val="856"/>
        <w:jc w:val="both"/>
        <w:spacing w:beforeAutospacing="0" w:afterAutospacing="0"/>
        <w:rPr>
          <w:highlight w:val="none"/>
        </w:rPr>
      </w:pPr>
      <w:r>
        <w:rPr>
          <w:highlight w:val="none"/>
        </w:rPr>
        <w:t xml:space="preserve"> </w:t>
      </w:r>
      <w:r/>
    </w:p>
    <w:p>
      <w:pPr>
        <w:pStyle w:val="856"/>
        <w:jc w:val="both"/>
        <w:spacing w:beforeAutospacing="0" w:afterAutospacing="0"/>
        <w:rPr>
          <w:highlight w:val="none"/>
        </w:rPr>
      </w:pPr>
      <w:r>
        <w:rPr>
          <w:highlight w:val="none"/>
        </w:rPr>
        <w:t xml:space="preserve"> </w:t>
      </w:r>
      <w:r/>
    </w:p>
    <w:p>
      <w:pPr>
        <w:pStyle w:val="856"/>
        <w:jc w:val="both"/>
        <w:spacing w:beforeAutospacing="0" w:afterAutospacing="0"/>
        <w:rPr>
          <w:highlight w:val="none"/>
        </w:rPr>
      </w:pPr>
      <w:r>
        <w:rPr>
          <w:highlight w:val="none"/>
        </w:rPr>
        <w:t xml:space="preserve"> </w:t>
      </w:r>
      <w:r/>
    </w:p>
    <w:p>
      <w:pPr>
        <w:pStyle w:val="856"/>
        <w:jc w:val="both"/>
        <w:spacing w:beforeAutospacing="0" w:afterAutospacing="0"/>
        <w:rPr>
          <w:highlight w:val="none"/>
        </w:rPr>
      </w:pPr>
      <w:r>
        <w:rPr>
          <w:highlight w:val="none"/>
        </w:rPr>
        <w:t xml:space="preserve"> </w:t>
      </w:r>
      <w:r/>
    </w:p>
    <w:p>
      <w:pPr>
        <w:pStyle w:val="856"/>
        <w:jc w:val="both"/>
        <w:spacing w:beforeAutospacing="0" w:afterAutospacing="0"/>
        <w:rPr>
          <w:highlight w:val="none"/>
        </w:rPr>
      </w:pPr>
      <w:r>
        <w:rPr>
          <w:highlight w:val="none"/>
        </w:rPr>
        <w:t xml:space="preserve"> </w:t>
      </w:r>
      <w:r/>
    </w:p>
    <w:p>
      <w:pPr>
        <w:pStyle w:val="856"/>
        <w:jc w:val="both"/>
        <w:spacing w:beforeAutospacing="0" w:afterAutospacing="0"/>
        <w:rPr>
          <w:highlight w:val="none"/>
        </w:rPr>
      </w:pPr>
      <w:r>
        <w:rPr>
          <w:highlight w:val="none"/>
        </w:rPr>
        <w:t xml:space="preserve"> </w:t>
      </w:r>
      <w:r/>
    </w:p>
    <w:p>
      <w:pPr>
        <w:pStyle w:val="856"/>
        <w:jc w:val="both"/>
        <w:spacing w:beforeAutospacing="0" w:afterAutospacing="0"/>
        <w:rPr>
          <w:highlight w:val="none"/>
        </w:rPr>
      </w:pPr>
      <w:r>
        <w:rPr>
          <w:highlight w:val="none"/>
        </w:rPr>
        <w:t xml:space="preserve"> </w:t>
      </w:r>
      <w:r/>
    </w:p>
    <w:p>
      <w:pPr>
        <w:pStyle w:val="856"/>
        <w:jc w:val="both"/>
        <w:spacing w:beforeAutospacing="0" w:afterAutospacing="0"/>
        <w:rPr>
          <w:highlight w:val="none"/>
        </w:rPr>
      </w:pPr>
      <w:r>
        <w:rPr>
          <w:highlight w:val="none"/>
        </w:rPr>
        <w:t xml:space="preserve"> </w:t>
      </w:r>
      <w:r/>
    </w:p>
    <w:p>
      <w:pPr>
        <w:pStyle w:val="856"/>
        <w:jc w:val="both"/>
        <w:spacing w:beforeAutospacing="0" w:afterAutospacing="0"/>
        <w:rPr>
          <w:highlight w:val="none"/>
        </w:rPr>
      </w:pPr>
      <w:r>
        <w:rPr>
          <w:highlight w:val="none"/>
        </w:rPr>
        <w:t xml:space="preserve"> </w:t>
      </w:r>
      <w:r/>
    </w:p>
    <w:p>
      <w:pPr>
        <w:pStyle w:val="856"/>
        <w:jc w:val="both"/>
        <w:spacing w:beforeAutospacing="0" w:afterAutospacing="0"/>
        <w:rPr>
          <w:highlight w:val="none"/>
        </w:rPr>
      </w:pPr>
      <w:r>
        <w:rPr>
          <w:highlight w:val="none"/>
        </w:rPr>
        <w:t xml:space="preserve"> </w:t>
      </w:r>
      <w:r/>
    </w:p>
    <w:p>
      <w:pPr>
        <w:pStyle w:val="856"/>
        <w:jc w:val="both"/>
        <w:spacing w:beforeAutospacing="0" w:afterAutospacing="0"/>
        <w:rPr>
          <w:highlight w:val="none"/>
        </w:rPr>
      </w:pPr>
      <w:r>
        <w:rPr>
          <w:highlight w:val="none"/>
        </w:rPr>
        <w:t xml:space="preserve"> </w:t>
      </w:r>
      <w:r/>
    </w:p>
    <w:p>
      <w:pPr>
        <w:pStyle w:val="856"/>
        <w:jc w:val="both"/>
        <w:spacing w:beforeAutospacing="0" w:afterAutospacing="0"/>
        <w:rPr>
          <w:highlight w:val="none"/>
        </w:rPr>
      </w:pPr>
      <w:r>
        <w:rPr>
          <w:highlight w:val="none"/>
        </w:rPr>
        <w:t xml:space="preserve"> </w:t>
      </w:r>
      <w:r/>
    </w:p>
    <w:p>
      <w:pPr>
        <w:pStyle w:val="856"/>
        <w:jc w:val="both"/>
        <w:spacing w:beforeAutospacing="0" w:afterAutospacing="0"/>
        <w:rPr>
          <w:highlight w:val="none"/>
        </w:rPr>
      </w:pPr>
      <w:r>
        <w:rPr>
          <w:highlight w:val="none"/>
        </w:rPr>
      </w:r>
      <w:r/>
    </w:p>
    <w:p>
      <w:pPr>
        <w:pStyle w:val="856"/>
        <w:jc w:val="both"/>
        <w:spacing w:beforeAutospacing="0" w:afterAutospacing="0"/>
        <w:rPr>
          <w:highlight w:val="none"/>
        </w:rPr>
      </w:pPr>
      <w:r>
        <w:rPr>
          <w:highlight w:val="none"/>
        </w:rPr>
      </w:r>
      <w:r/>
    </w:p>
    <w:p>
      <w:pPr>
        <w:pStyle w:val="856"/>
        <w:jc w:val="both"/>
        <w:spacing w:beforeAutospacing="0" w:afterAutospacing="0"/>
        <w:rPr>
          <w:highlight w:val="none"/>
        </w:rPr>
      </w:pPr>
      <w:r>
        <w:rPr>
          <w:highlight w:val="none"/>
        </w:rPr>
      </w:r>
      <w:r/>
    </w:p>
    <w:p>
      <w:pPr>
        <w:pStyle w:val="856"/>
        <w:jc w:val="center"/>
        <w:spacing w:beforeAutospacing="0" w:afterAutospacing="0"/>
        <w:rPr>
          <w:highlight w:val="none"/>
        </w:rPr>
      </w:pPr>
      <w:r>
        <w:rPr>
          <w:highlight w:val="none"/>
        </w:rPr>
        <w:t xml:space="preserve"> </w:t>
      </w:r>
      <w:r>
        <w:rPr>
          <w:highlight w:val="none"/>
        </w:rPr>
      </w:r>
      <w:bookmarkStart w:id="6" w:name="_Toc28359086"/>
      <w:r>
        <w:rPr>
          <w:rFonts w:hint="eastAsia" w:ascii="黑体" w:hAnsi="宋体" w:eastAsia="黑体" w:cs="黑体"/>
          <w:b w:val="0"/>
          <w:bCs w:val="0"/>
          <w:color w:val="000000"/>
          <w:sz w:val="44"/>
          <w:szCs w:val="44"/>
          <w:highlight w:val="none"/>
        </w:rPr>
        <w:t xml:space="preserve">第一章 </w:t>
      </w:r>
      <w:r>
        <w:rPr>
          <w:rFonts w:hint="eastAsia" w:ascii="黑体" w:hAnsi="宋体" w:eastAsia="黑体" w:cs="黑体"/>
          <w:b w:val="0"/>
          <w:bCs w:val="0"/>
          <w:color w:val="000000"/>
          <w:sz w:val="44"/>
          <w:szCs w:val="44"/>
          <w:highlight w:val="none"/>
          <w:lang w:val="en-US" w:eastAsia="zh-CN"/>
        </w:rPr>
        <w:t xml:space="preserve">招标公告</w:t>
      </w:r>
      <w:r>
        <w:rPr>
          <w:highlight w:val="none"/>
        </w:rPr>
      </w:r>
      <w:r/>
    </w:p>
    <w:p>
      <w:pPr>
        <w:pStyle w:val="856"/>
        <w:ind w:firstLine="480"/>
        <w:jc w:val="both"/>
        <w:keepLines w:val="0"/>
        <w:keepNext w:val="0"/>
        <w:pageBreakBefore w:val="0"/>
        <w:spacing w:beforeAutospacing="0" w:afterAutospacing="0" w:line="430" w:lineRule="exact"/>
        <w:widowControl w:val="off"/>
        <w:rPr>
          <w:rFonts w:hint="eastAsia" w:ascii="宋体" w:hAnsi="宋体" w:eastAsia="宋体" w:cs="宋体"/>
          <w:sz w:val="24"/>
          <w:szCs w:val="24"/>
          <w:highlight w:val="none"/>
        </w:rPr>
        <w:pBdr>
          <w:top w:val="single" w:color="000000" w:sz="4" w:space="0"/>
          <w:left w:val="single" w:color="000000" w:sz="4" w:space="0"/>
          <w:bottom w:val="single" w:color="000000" w:sz="4" w:space="0"/>
          <w:right w:val="single" w:color="000000" w:sz="4" w:space="0"/>
        </w:pBdr>
      </w:pPr>
      <w:r>
        <w:rPr>
          <w:rFonts w:hint="eastAsia" w:ascii="宋体" w:hAnsi="宋体" w:eastAsia="宋体" w:cs="宋体"/>
          <w:color w:val="000000"/>
          <w:sz w:val="24"/>
          <w:szCs w:val="24"/>
          <w:highlight w:val="none"/>
        </w:rPr>
        <w:t xml:space="preserve">项目概况</w:t>
      </w:r>
      <w:r/>
    </w:p>
    <w:p>
      <w:pPr>
        <w:pStyle w:val="856"/>
        <w:ind w:firstLine="480"/>
        <w:jc w:val="both"/>
        <w:keepLines w:val="0"/>
        <w:keepNext w:val="0"/>
        <w:pageBreakBefore w:val="0"/>
        <w:spacing w:beforeAutospacing="0" w:afterAutospacing="0" w:line="430" w:lineRule="exact"/>
        <w:widowControl w:val="off"/>
        <w:rPr>
          <w:rFonts w:hint="eastAsia" w:ascii="宋体" w:hAnsi="宋体" w:eastAsia="宋体" w:cs="宋体"/>
          <w:sz w:val="24"/>
          <w:szCs w:val="24"/>
          <w:highlight w:val="none"/>
        </w:rPr>
        <w:pBdr>
          <w:top w:val="single" w:color="000000" w:sz="4" w:space="0"/>
          <w:left w:val="single" w:color="000000" w:sz="4" w:space="0"/>
          <w:bottom w:val="single" w:color="000000" w:sz="4" w:space="0"/>
          <w:right w:val="single" w:color="000000" w:sz="4" w:space="0"/>
        </w:pBdr>
      </w:pPr>
      <w:r>
        <w:rPr>
          <w:rFonts w:hint="eastAsia" w:ascii="宋体" w:hAnsi="宋体" w:eastAsia="宋体" w:cs="宋体"/>
          <w:color w:val="000000"/>
          <w:sz w:val="24"/>
          <w:szCs w:val="24"/>
          <w:highlight w:val="none"/>
          <w:u w:val="single"/>
        </w:rPr>
        <w:t xml:space="preserve">(</w:t>
      </w:r>
      <w:r>
        <w:rPr>
          <w:rFonts w:hint="eastAsia" w:ascii="宋体" w:hAnsi="宋体" w:eastAsia="宋体" w:cs="宋体"/>
          <w:color w:val="000000"/>
          <w:sz w:val="24"/>
          <w:szCs w:val="24"/>
          <w:highlight w:val="none"/>
          <w:u w:val="single"/>
          <w:lang w:eastAsia="zh-CN"/>
        </w:rPr>
        <w:t xml:space="preserve">射阳县发展和改革委员会“3+3”网电体系建设采购及安装项目</w:t>
      </w:r>
      <w:r>
        <w:rPr>
          <w:rFonts w:hint="eastAsia" w:ascii="宋体" w:hAnsi="宋体" w:eastAsia="宋体" w:cs="宋体"/>
          <w:color w:val="000000"/>
          <w:sz w:val="24"/>
          <w:szCs w:val="24"/>
          <w:highlight w:val="none"/>
          <w:u w:val="single"/>
        </w:rPr>
        <w:t xml:space="preserve">)</w:t>
      </w:r>
      <w:r>
        <w:rPr>
          <w:rFonts w:hint="eastAsia" w:ascii="宋体" w:hAnsi="宋体" w:eastAsia="宋体" w:cs="宋体"/>
          <w:color w:val="000000"/>
          <w:sz w:val="24"/>
          <w:szCs w:val="24"/>
          <w:highlight w:val="none"/>
        </w:rPr>
        <w:t xml:space="preserve">招标项目的潜在投标人可在</w:t>
      </w:r>
      <w:r>
        <w:rPr>
          <w:rFonts w:hint="eastAsia" w:ascii="宋体" w:hAnsi="宋体" w:eastAsia="宋体" w:cs="宋体"/>
          <w:i w:val="0"/>
          <w:iCs w:val="0"/>
          <w:caps w:val="0"/>
          <w:color w:val="333333"/>
          <w:spacing w:val="0"/>
          <w:sz w:val="24"/>
          <w:szCs w:val="24"/>
          <w:highlight w:val="none"/>
          <w:shd w:val="clear" w:color="auto" w:fill="ffffff"/>
        </w:rPr>
        <w:t xml:space="preserve">“苏采云”系统内免费下载（投标人必须在苏采云系统中获取采购文件，方能参与政府采购项目）</w:t>
      </w:r>
      <w:r>
        <w:rPr>
          <w:rFonts w:hint="eastAsia" w:ascii="宋体" w:hAnsi="宋体" w:eastAsia="宋体" w:cs="宋体"/>
          <w:color w:val="000000"/>
          <w:sz w:val="24"/>
          <w:szCs w:val="24"/>
          <w:highlight w:val="none"/>
        </w:rPr>
        <w:t xml:space="preserve">，并于</w:t>
      </w:r>
      <w:r>
        <w:rPr>
          <w:rFonts w:hint="eastAsia" w:ascii="宋体" w:hAnsi="宋体" w:eastAsia="宋体" w:cs="宋体"/>
          <w:color w:val="000000"/>
          <w:sz w:val="24"/>
          <w:szCs w:val="24"/>
          <w:highlight w:val="none"/>
          <w:u w:val="single"/>
          <w:lang w:val="en-US" w:eastAsia="zh-CN"/>
        </w:rPr>
        <w:t xml:space="preserve">2025</w:t>
      </w:r>
      <w:r>
        <w:rPr>
          <w:rFonts w:hint="eastAsia" w:ascii="宋体" w:hAnsi="宋体" w:eastAsia="宋体" w:cs="宋体"/>
          <w:color w:val="000000"/>
          <w:sz w:val="24"/>
          <w:szCs w:val="24"/>
          <w:highlight w:val="none"/>
          <w:u w:val="single"/>
        </w:rPr>
        <w:t xml:space="preserve">年</w:t>
      </w:r>
      <w:r>
        <w:rPr>
          <w:rFonts w:hint="eastAsia" w:ascii="宋体" w:hAnsi="宋体" w:eastAsia="宋体" w:cs="宋体"/>
          <w:color w:val="000000"/>
          <w:sz w:val="24"/>
          <w:szCs w:val="24"/>
          <w:highlight w:val="none"/>
          <w:u w:val="single"/>
          <w:lang w:val="en-US" w:eastAsia="zh-CN"/>
        </w:rPr>
        <w:t xml:space="preserve">12</w:t>
      </w:r>
      <w:r>
        <w:rPr>
          <w:rFonts w:hint="eastAsia" w:ascii="宋体" w:hAnsi="宋体" w:eastAsia="宋体" w:cs="宋体"/>
          <w:color w:val="000000"/>
          <w:sz w:val="24"/>
          <w:szCs w:val="24"/>
          <w:highlight w:val="none"/>
          <w:u w:val="single"/>
        </w:rPr>
        <w:t xml:space="preserve">月</w:t>
      </w:r>
      <w:r>
        <w:rPr>
          <w:rFonts w:hint="eastAsia" w:ascii="宋体" w:hAnsi="宋体" w:eastAsia="宋体" w:cs="宋体"/>
          <w:color w:val="000000"/>
          <w:sz w:val="24"/>
          <w:szCs w:val="24"/>
          <w:highlight w:val="none"/>
          <w:u w:val="single"/>
          <w:lang w:val="en-US" w:eastAsia="zh-CN"/>
        </w:rPr>
        <w:t xml:space="preserve">12</w:t>
      </w:r>
      <w:r>
        <w:rPr>
          <w:rFonts w:hint="eastAsia" w:ascii="宋体" w:hAnsi="宋体" w:eastAsia="宋体" w:cs="宋体"/>
          <w:color w:val="000000"/>
          <w:sz w:val="24"/>
          <w:szCs w:val="24"/>
          <w:highlight w:val="none"/>
          <w:u w:val="single"/>
        </w:rPr>
        <w:t xml:space="preserve">日</w:t>
      </w:r>
      <w:r>
        <w:rPr>
          <w:rFonts w:hint="eastAsia" w:ascii="宋体" w:hAnsi="宋体" w:eastAsia="宋体" w:cs="宋体"/>
          <w:color w:val="000000"/>
          <w:sz w:val="24"/>
          <w:szCs w:val="24"/>
          <w:highlight w:val="none"/>
          <w:u w:val="single"/>
          <w:lang w:val="en-US" w:eastAsia="zh-CN"/>
        </w:rPr>
        <w:t xml:space="preserve">9</w:t>
      </w:r>
      <w:r>
        <w:rPr>
          <w:rFonts w:hint="eastAsia" w:ascii="宋体" w:hAnsi="宋体" w:eastAsia="宋体" w:cs="宋体"/>
          <w:color w:val="000000"/>
          <w:sz w:val="24"/>
          <w:szCs w:val="24"/>
          <w:highlight w:val="none"/>
          <w:u w:val="single"/>
        </w:rPr>
        <w:t xml:space="preserve">点</w:t>
      </w:r>
      <w:r>
        <w:rPr>
          <w:rFonts w:hint="eastAsia" w:ascii="宋体" w:hAnsi="宋体" w:eastAsia="宋体" w:cs="宋体"/>
          <w:color w:val="000000"/>
          <w:sz w:val="24"/>
          <w:szCs w:val="24"/>
          <w:highlight w:val="none"/>
          <w:u w:val="single"/>
          <w:lang w:val="en-US" w:eastAsia="zh-CN"/>
        </w:rPr>
        <w:t xml:space="preserve">00</w:t>
      </w:r>
      <w:r>
        <w:rPr>
          <w:rFonts w:hint="eastAsia" w:ascii="宋体" w:hAnsi="宋体" w:eastAsia="宋体" w:cs="宋体"/>
          <w:color w:val="000000"/>
          <w:sz w:val="24"/>
          <w:szCs w:val="24"/>
          <w:highlight w:val="none"/>
          <w:u w:val="single"/>
        </w:rPr>
        <w:t xml:space="preserve">分（</w:t>
      </w:r>
      <w:r>
        <w:rPr>
          <w:rFonts w:hint="eastAsia" w:ascii="宋体" w:hAnsi="宋体" w:eastAsia="宋体" w:cs="宋体"/>
          <w:color w:val="000000"/>
          <w:sz w:val="24"/>
          <w:szCs w:val="24"/>
          <w:highlight w:val="none"/>
        </w:rPr>
        <w:t xml:space="preserve">北京时间）前递交投标文件。</w:t>
      </w:r>
      <w:r/>
    </w:p>
    <w:p>
      <w:pPr>
        <w:pStyle w:val="856"/>
        <w:ind w:firstLine="482"/>
        <w:jc w:val="both"/>
        <w:keepLines w:val="0"/>
        <w:keepNext w:val="0"/>
        <w:pageBreakBefore w:val="0"/>
        <w:spacing w:beforeAutospacing="0" w:afterAutospacing="0" w:line="430" w:lineRule="exact"/>
        <w:widowControl w:val="off"/>
        <w:rPr>
          <w:rFonts w:hint="eastAsia" w:ascii="宋体" w:hAnsi="宋体" w:eastAsia="宋体" w:cs="宋体"/>
          <w:sz w:val="24"/>
          <w:szCs w:val="24"/>
          <w:highlight w:val="none"/>
        </w:rPr>
      </w:pPr>
      <w:r/>
      <w:bookmarkStart w:id="7" w:name="_Hlk24379207"/>
      <w:r/>
      <w:bookmarkStart w:id="8" w:name="_Toc35393790"/>
      <w:r/>
      <w:bookmarkStart w:id="9" w:name="_Toc38985263"/>
      <w:r/>
      <w:bookmarkStart w:id="10" w:name="_Toc28359079"/>
      <w:r/>
      <w:bookmarkStart w:id="11" w:name="_Toc35393621"/>
      <w:r/>
      <w:bookmarkStart w:id="12" w:name="_Toc28359002"/>
      <w:r>
        <w:rPr>
          <w:rFonts w:hint="eastAsia" w:ascii="宋体" w:hAnsi="宋体" w:eastAsia="宋体" w:cs="宋体"/>
          <w:b/>
          <w:color w:val="000000"/>
          <w:sz w:val="24"/>
          <w:szCs w:val="24"/>
          <w:highlight w:val="none"/>
        </w:rPr>
        <w:t xml:space="preserve">一、项目基本情况</w:t>
      </w:r>
      <w:bookmarkEnd w:id="7"/>
      <w:r/>
      <w:bookmarkEnd w:id="8"/>
      <w:r/>
      <w:bookmarkEnd w:id="9"/>
      <w:r/>
      <w:bookmarkEnd w:id="10"/>
      <w:r/>
      <w:bookmarkEnd w:id="11"/>
      <w:r/>
      <w:bookmarkEnd w:id="12"/>
      <w:r/>
      <w:r/>
    </w:p>
    <w:p>
      <w:pPr>
        <w:pStyle w:val="856"/>
        <w:ind w:firstLine="480"/>
        <w:jc w:val="both"/>
        <w:keepLines w:val="0"/>
        <w:keepNext w:val="0"/>
        <w:pageBreakBefore w:val="0"/>
        <w:spacing w:beforeAutospacing="0" w:afterAutospacing="0" w:line="430" w:lineRule="exact"/>
        <w:widowControl w:val="off"/>
        <w:rPr>
          <w:rFonts w:hint="eastAsia" w:ascii="宋体" w:hAnsi="宋体" w:eastAsia="宋体" w:cs="宋体"/>
          <w:i w:val="0"/>
          <w:iCs w:val="0"/>
          <w:caps w:val="0"/>
          <w:color w:val="333333"/>
          <w:spacing w:val="0"/>
          <w:sz w:val="24"/>
          <w:szCs w:val="24"/>
          <w:highlight w:val="none"/>
          <w:shd w:val="clear" w:color="auto" w:fill="ffffff"/>
        </w:rPr>
      </w:pPr>
      <w:r>
        <w:rPr>
          <w:rFonts w:hint="eastAsia" w:ascii="宋体" w:hAnsi="宋体" w:eastAsia="宋体" w:cs="宋体"/>
          <w:i w:val="0"/>
          <w:iCs w:val="0"/>
          <w:caps w:val="0"/>
          <w:color w:val="333333"/>
          <w:spacing w:val="0"/>
          <w:sz w:val="24"/>
          <w:szCs w:val="24"/>
          <w:highlight w:val="none"/>
          <w:shd w:val="clear" w:color="auto" w:fill="ffffff"/>
        </w:rPr>
        <w:t xml:space="preserve">1.项目编号：JSZC-320924-HTGC-G2025-0023</w:t>
      </w:r>
      <w:r/>
    </w:p>
    <w:p>
      <w:pPr>
        <w:pStyle w:val="856"/>
        <w:ind w:firstLine="480"/>
        <w:jc w:val="both"/>
        <w:keepLines w:val="0"/>
        <w:keepNext w:val="0"/>
        <w:pageBreakBefore w:val="0"/>
        <w:spacing w:beforeAutospacing="0" w:afterAutospacing="0" w:line="430" w:lineRule="exact"/>
        <w:widowControl w:val="off"/>
        <w:rPr>
          <w:rFonts w:hint="eastAsia" w:ascii="宋体" w:hAnsi="宋体" w:eastAsia="宋体" w:cs="宋体"/>
          <w:color w:val="000000"/>
          <w:sz w:val="24"/>
          <w:szCs w:val="24"/>
          <w:highlight w:val="none"/>
          <w:shd w:val="clear" w:color="auto" w:fill="auto"/>
        </w:rPr>
      </w:pPr>
      <w:r>
        <w:rPr>
          <w:rFonts w:hint="eastAsia" w:ascii="宋体" w:hAnsi="宋体" w:eastAsia="宋体" w:cs="宋体"/>
          <w:color w:val="000000"/>
          <w:sz w:val="24"/>
          <w:szCs w:val="24"/>
          <w:highlight w:val="none"/>
        </w:rPr>
        <w:t xml:space="preserve">2.项</w:t>
      </w:r>
      <w:r>
        <w:rPr>
          <w:rFonts w:hint="eastAsia" w:ascii="宋体" w:hAnsi="宋体" w:eastAsia="宋体" w:cs="宋体"/>
          <w:color w:val="000000"/>
          <w:sz w:val="24"/>
          <w:szCs w:val="24"/>
          <w:highlight w:val="none"/>
          <w:shd w:val="clear" w:color="auto" w:fill="auto"/>
        </w:rPr>
        <w:t xml:space="preserve">目名称：</w:t>
      </w:r>
      <w:r>
        <w:rPr>
          <w:rFonts w:hint="eastAsia" w:ascii="宋体" w:hAnsi="宋体" w:eastAsia="宋体" w:cs="宋体"/>
          <w:color w:val="000000"/>
          <w:sz w:val="24"/>
          <w:szCs w:val="24"/>
          <w:highlight w:val="none"/>
          <w:shd w:val="clear" w:color="auto" w:fill="auto"/>
          <w:lang w:eastAsia="zh-CN"/>
        </w:rPr>
        <w:t xml:space="preserve">射阳县发展和改革委员会“3+3”网电体系建设采购及安装项目</w:t>
      </w:r>
      <w:r/>
    </w:p>
    <w:p>
      <w:pPr>
        <w:pStyle w:val="856"/>
        <w:ind w:firstLine="480"/>
        <w:jc w:val="both"/>
        <w:keepLines w:val="0"/>
        <w:keepNext w:val="0"/>
        <w:pageBreakBefore w:val="0"/>
        <w:spacing w:beforeAutospacing="0" w:afterAutospacing="0" w:line="430" w:lineRule="exact"/>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i w:val="0"/>
          <w:iCs w:val="0"/>
          <w:caps w:val="0"/>
          <w:color w:val="333333"/>
          <w:spacing w:val="0"/>
          <w:sz w:val="24"/>
          <w:szCs w:val="24"/>
          <w:highlight w:val="none"/>
          <w:shd w:val="clear" w:color="auto" w:fill="ffffff"/>
          <w:lang w:val="en-US" w:eastAsia="zh-CN"/>
        </w:rPr>
        <w:t xml:space="preserve">3.</w:t>
      </w:r>
      <w:r>
        <w:rPr>
          <w:rFonts w:hint="eastAsia" w:ascii="宋体" w:hAnsi="宋体" w:eastAsia="宋体" w:cs="宋体"/>
          <w:i w:val="0"/>
          <w:iCs w:val="0"/>
          <w:caps w:val="0"/>
          <w:color w:val="333333"/>
          <w:spacing w:val="0"/>
          <w:sz w:val="24"/>
          <w:szCs w:val="24"/>
          <w:highlight w:val="none"/>
          <w:shd w:val="clear" w:color="auto" w:fill="ffffff"/>
        </w:rPr>
        <w:t xml:space="preserve">采购方式：</w:t>
      </w:r>
      <w:r>
        <w:rPr>
          <w:rFonts w:hint="eastAsia" w:ascii="宋体" w:hAnsi="宋体" w:eastAsia="宋体" w:cs="宋体"/>
          <w:i w:val="0"/>
          <w:iCs w:val="0"/>
          <w:caps w:val="0"/>
          <w:color w:val="333333"/>
          <w:spacing w:val="0"/>
          <w:sz w:val="24"/>
          <w:szCs w:val="24"/>
          <w:highlight w:val="none"/>
          <w:shd w:val="clear" w:color="auto" w:fill="ffffff"/>
          <w:lang w:val="en-US" w:eastAsia="zh-CN"/>
        </w:rPr>
        <w:t xml:space="preserve">公开招标</w:t>
      </w:r>
      <w:r/>
    </w:p>
    <w:p>
      <w:pPr>
        <w:pStyle w:val="856"/>
        <w:ind w:firstLine="480"/>
        <w:jc w:val="both"/>
        <w:keepLines w:val="0"/>
        <w:keepNext w:val="0"/>
        <w:pageBreakBefore w:val="0"/>
        <w:spacing w:beforeAutospacing="0" w:afterAutospacing="0" w:line="430" w:lineRule="exact"/>
        <w:widowControl w:val="off"/>
        <w:rPr>
          <w:rFonts w:hint="default" w:ascii="宋体" w:hAnsi="宋体" w:eastAsia="宋体" w:cs="宋体"/>
          <w:color w:val="000000"/>
          <w:sz w:val="24"/>
          <w:szCs w:val="24"/>
          <w:highlight w:val="none"/>
          <w:shd w:val="clear" w:color="auto" w:fill="auto"/>
          <w:lang w:val="en-US" w:eastAsia="zh-CN"/>
        </w:rPr>
      </w:pPr>
      <w:r>
        <w:rPr>
          <w:rFonts w:hint="eastAsia" w:ascii="宋体" w:hAnsi="宋体" w:eastAsia="宋体" w:cs="宋体"/>
          <w:color w:val="000000"/>
          <w:sz w:val="24"/>
          <w:szCs w:val="24"/>
          <w:highlight w:val="none"/>
          <w:lang w:val="en-US" w:eastAsia="zh-CN"/>
        </w:rPr>
        <w:t xml:space="preserve">4</w:t>
      </w:r>
      <w:r>
        <w:rPr>
          <w:rFonts w:hint="eastAsia" w:ascii="宋体" w:hAnsi="宋体" w:eastAsia="宋体" w:cs="宋体"/>
          <w:color w:val="000000"/>
          <w:sz w:val="24"/>
          <w:szCs w:val="24"/>
          <w:highlight w:val="none"/>
        </w:rPr>
        <w:t xml:space="preserve">.预算金额：</w:t>
      </w:r>
      <w:r>
        <w:rPr>
          <w:rFonts w:hint="eastAsia" w:ascii="宋体" w:hAnsi="宋体" w:eastAsia="宋体" w:cs="宋体"/>
          <w:color w:val="000000"/>
          <w:sz w:val="24"/>
          <w:szCs w:val="24"/>
          <w:highlight w:val="none"/>
          <w:lang w:val="en-US" w:eastAsia="zh-CN"/>
        </w:rPr>
        <w:t xml:space="preserve">100万元</w:t>
      </w:r>
      <w:r/>
    </w:p>
    <w:p>
      <w:pPr>
        <w:pStyle w:val="856"/>
        <w:ind w:firstLine="480"/>
        <w:jc w:val="both"/>
        <w:keepLines w:val="0"/>
        <w:keepNext w:val="0"/>
        <w:pageBreakBefore w:val="0"/>
        <w:spacing w:beforeAutospacing="0" w:afterAutospacing="0" w:line="430" w:lineRule="exact"/>
        <w:widowControl w:val="off"/>
        <w:rPr>
          <w:rFonts w:hint="eastAsia" w:ascii="宋体" w:hAnsi="宋体" w:eastAsia="宋体" w:cs="宋体"/>
          <w:color w:val="000000"/>
          <w:sz w:val="24"/>
          <w:szCs w:val="24"/>
          <w:highlight w:val="none"/>
          <w:shd w:val="clear" w:color="ffffff" w:fill="d9d9d9"/>
        </w:rPr>
      </w:pPr>
      <w:r>
        <w:rPr>
          <w:rFonts w:hint="eastAsia" w:ascii="宋体" w:hAnsi="宋体" w:eastAsia="宋体" w:cs="宋体"/>
          <w:i w:val="0"/>
          <w:iCs w:val="0"/>
          <w:caps w:val="0"/>
          <w:color w:val="333333"/>
          <w:spacing w:val="0"/>
          <w:sz w:val="24"/>
          <w:szCs w:val="24"/>
          <w:highlight w:val="none"/>
          <w:shd w:val="clear" w:color="auto" w:fill="ffffff"/>
          <w:lang w:val="en-US" w:eastAsia="zh-CN"/>
        </w:rPr>
        <w:t xml:space="preserve">5.</w:t>
      </w:r>
      <w:r>
        <w:rPr>
          <w:rFonts w:hint="eastAsia" w:ascii="宋体" w:hAnsi="宋体" w:eastAsia="宋体" w:cs="宋体"/>
          <w:i w:val="0"/>
          <w:iCs w:val="0"/>
          <w:caps w:val="0"/>
          <w:color w:val="333333"/>
          <w:spacing w:val="0"/>
          <w:sz w:val="24"/>
          <w:szCs w:val="24"/>
          <w:highlight w:val="none"/>
          <w:shd w:val="clear" w:color="auto" w:fill="ffffff"/>
        </w:rPr>
        <w:t xml:space="preserve">最高限价：</w:t>
      </w:r>
      <w:r>
        <w:rPr>
          <w:rFonts w:hint="eastAsia" w:ascii="宋体" w:hAnsi="宋体" w:eastAsia="宋体" w:cs="宋体"/>
          <w:color w:val="000000"/>
          <w:sz w:val="24"/>
          <w:szCs w:val="24"/>
          <w:highlight w:val="none"/>
          <w:lang w:val="en-US" w:eastAsia="zh-CN"/>
        </w:rPr>
        <w:t xml:space="preserve">100万元</w:t>
      </w:r>
      <w:r/>
    </w:p>
    <w:p>
      <w:pPr>
        <w:pStyle w:val="856"/>
        <w:ind w:firstLine="480"/>
        <w:jc w:val="both"/>
        <w:keepLines w:val="0"/>
        <w:keepNext w:val="0"/>
        <w:pageBreakBefore w:val="0"/>
        <w:spacing w:beforeAutospacing="0" w:afterAutospacing="0" w:line="430" w:lineRule="exact"/>
        <w:widowControl w:val="off"/>
        <w:rPr>
          <w:rFonts w:hint="eastAsia" w:ascii="宋体" w:hAnsi="宋体" w:eastAsia="宋体" w:cs="宋体"/>
          <w:sz w:val="24"/>
          <w:szCs w:val="24"/>
          <w:highlight w:val="none"/>
        </w:rPr>
      </w:pPr>
      <w:r>
        <w:rPr>
          <w:rFonts w:hint="eastAsia" w:ascii="宋体" w:hAnsi="宋体" w:eastAsia="宋体" w:cs="宋体"/>
          <w:color w:val="000000"/>
          <w:sz w:val="24"/>
          <w:szCs w:val="24"/>
          <w:highlight w:val="none"/>
          <w:shd w:val="clear" w:color="auto" w:fill="auto"/>
          <w:lang w:val="en-US" w:eastAsia="zh-CN"/>
        </w:rPr>
        <w:t xml:space="preserve">6</w:t>
      </w:r>
      <w:r>
        <w:rPr>
          <w:rFonts w:hint="eastAsia" w:ascii="宋体" w:hAnsi="宋体" w:eastAsia="宋体" w:cs="宋体"/>
          <w:color w:val="000000"/>
          <w:sz w:val="24"/>
          <w:szCs w:val="24"/>
          <w:highlight w:val="none"/>
          <w:shd w:val="clear" w:color="auto" w:fill="auto"/>
        </w:rPr>
        <w:t xml:space="preserve">.采购需求：</w:t>
      </w:r>
      <w:r>
        <w:rPr>
          <w:rFonts w:hint="eastAsia" w:ascii="宋体" w:hAnsi="宋体" w:cs="宋体"/>
          <w:color w:val="000000"/>
        </w:rPr>
        <w:t xml:space="preserve">完成省国动办系统“3+3”网电体系建设任务</w:t>
      </w:r>
      <w:r>
        <w:rPr>
          <w:rFonts w:hint="eastAsia" w:ascii="宋体" w:hAnsi="宋体" w:cs="宋体"/>
          <w:color w:val="000000"/>
          <w:lang w:val="en-US" w:eastAsia="zh-CN"/>
        </w:rPr>
        <w:t xml:space="preserve">,</w:t>
      </w:r>
      <w:r>
        <w:rPr>
          <w:rFonts w:ascii="宋体" w:hAnsi="宋体" w:eastAsia="宋体"/>
          <w:szCs w:val="21"/>
        </w:rPr>
        <w:t xml:space="preserve">包括设备采购、安装、调试以及伴随服务（含售后服务、质保服务、人员培训等）</w:t>
      </w:r>
      <w:r>
        <w:rPr>
          <w:rFonts w:hint="eastAsia" w:ascii="宋体" w:hAnsi="宋体" w:cs="宋体"/>
          <w:color w:val="000000"/>
        </w:rPr>
        <w:t xml:space="preserve">。</w:t>
      </w:r>
      <w:r>
        <w:rPr>
          <w:rFonts w:hint="eastAsia" w:ascii="宋体" w:hAnsi="宋体" w:eastAsia="宋体" w:cs="宋体"/>
          <w:color w:val="000000"/>
          <w:sz w:val="24"/>
          <w:szCs w:val="24"/>
          <w:highlight w:val="none"/>
          <w:shd w:val="clear" w:color="auto" w:fill="auto"/>
        </w:rPr>
        <w:t xml:space="preserve">（详</w:t>
      </w:r>
      <w:r>
        <w:rPr>
          <w:rFonts w:hint="eastAsia" w:ascii="宋体" w:hAnsi="宋体" w:eastAsia="宋体" w:cs="宋体"/>
          <w:color w:val="000000"/>
          <w:sz w:val="24"/>
          <w:szCs w:val="24"/>
          <w:highlight w:val="none"/>
        </w:rPr>
        <w:t xml:space="preserve">细内容见本</w:t>
      </w:r>
      <w:r>
        <w:rPr>
          <w:rFonts w:hint="eastAsia" w:ascii="宋体" w:hAnsi="宋体" w:eastAsia="宋体" w:cs="宋体"/>
          <w:color w:val="000000"/>
          <w:sz w:val="24"/>
          <w:szCs w:val="24"/>
          <w:highlight w:val="none"/>
          <w:lang w:val="en-US" w:eastAsia="zh-CN"/>
        </w:rPr>
        <w:t xml:space="preserve">招标</w:t>
      </w:r>
      <w:r>
        <w:rPr>
          <w:rFonts w:hint="eastAsia" w:ascii="宋体" w:hAnsi="宋体" w:eastAsia="宋体" w:cs="宋体"/>
          <w:color w:val="000000"/>
          <w:sz w:val="24"/>
          <w:szCs w:val="24"/>
          <w:highlight w:val="none"/>
        </w:rPr>
        <w:t xml:space="preserve">文件第四章）</w:t>
      </w:r>
      <w:r/>
    </w:p>
    <w:p>
      <w:pPr>
        <w:pStyle w:val="856"/>
        <w:ind w:firstLine="480"/>
        <w:jc w:val="both"/>
        <w:keepLines w:val="0"/>
        <w:keepNext w:val="0"/>
        <w:pageBreakBefore w:val="0"/>
        <w:spacing w:beforeAutospacing="0" w:afterAutospacing="0" w:line="43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7</w:t>
      </w:r>
      <w:r>
        <w:rPr>
          <w:rFonts w:hint="eastAsia" w:ascii="宋体" w:hAnsi="宋体" w:eastAsia="宋体" w:cs="宋体"/>
          <w:color w:val="000000"/>
          <w:sz w:val="24"/>
          <w:szCs w:val="24"/>
          <w:highlight w:val="none"/>
        </w:rPr>
        <w:t xml:space="preserve">.合同履行期限：合同签订后30日内供货到采购人指定地点，安装调试完毕并经采购人验收合格。</w:t>
      </w:r>
      <w:r/>
    </w:p>
    <w:p>
      <w:pPr>
        <w:pStyle w:val="856"/>
        <w:ind w:firstLine="480"/>
        <w:keepLines w:val="0"/>
        <w:keepNext w:val="0"/>
        <w:pageBreakBefore w:val="0"/>
        <w:spacing w:beforeAutospacing="0" w:afterAutospacing="0" w:line="430" w:lineRule="exact"/>
        <w:shd w:val="clear" w:color="auto" w:fill="ffffff"/>
        <w:widowControl w:val="off"/>
        <w:rPr>
          <w:rFonts w:hint="eastAsia" w:ascii="宋体" w:hAnsi="宋体" w:eastAsia="宋体" w:cs="宋体"/>
          <w:color w:val="000000"/>
          <w:sz w:val="24"/>
          <w:szCs w:val="24"/>
          <w:highlight w:val="none"/>
          <w:shd w:val="clear" w:color="auto" w:fill="ffff00"/>
        </w:rPr>
      </w:pPr>
      <w:r>
        <w:rPr>
          <w:rFonts w:hint="eastAsia" w:ascii="宋体" w:hAnsi="宋体" w:eastAsia="宋体" w:cs="宋体"/>
          <w:i w:val="0"/>
          <w:iCs w:val="0"/>
          <w:caps w:val="0"/>
          <w:color w:val="333333"/>
          <w:spacing w:val="0"/>
          <w:sz w:val="24"/>
          <w:szCs w:val="24"/>
          <w:highlight w:val="none"/>
          <w:shd w:val="clear" w:color="auto" w:fill="ffffff"/>
          <w:lang w:val="en-US" w:eastAsia="zh-CN"/>
        </w:rPr>
        <w:t xml:space="preserve">8.</w:t>
      </w:r>
      <w:r>
        <w:rPr>
          <w:rFonts w:ascii="宋体" w:hAnsi="宋体" w:cs="宋体"/>
          <w:color w:val="000000"/>
        </w:rPr>
        <w:t xml:space="preserve">本项目（是/否）接受联合体投标：否</w:t>
      </w:r>
      <w:r>
        <w:rPr>
          <w:rFonts w:hint="eastAsia" w:ascii="宋体" w:hAnsi="宋体" w:cs="宋体"/>
          <w:color w:val="000000"/>
        </w:rPr>
        <w:t xml:space="preserve"> </w:t>
      </w:r>
      <w:r/>
    </w:p>
    <w:p>
      <w:pPr>
        <w:pStyle w:val="856"/>
        <w:ind w:firstLine="482"/>
        <w:jc w:val="both"/>
        <w:keepLines w:val="0"/>
        <w:keepNext w:val="0"/>
        <w:pageBreakBefore w:val="0"/>
        <w:spacing w:beforeAutospacing="0" w:afterAutospacing="0" w:line="430" w:lineRule="exact"/>
        <w:widowControl w:val="off"/>
        <w:rPr>
          <w:rFonts w:hint="eastAsia" w:ascii="宋体" w:hAnsi="宋体" w:eastAsia="宋体" w:cs="宋体"/>
          <w:sz w:val="24"/>
          <w:szCs w:val="24"/>
          <w:highlight w:val="none"/>
        </w:rPr>
      </w:pPr>
      <w:r/>
      <w:bookmarkStart w:id="13" w:name="_Toc28359080"/>
      <w:r/>
      <w:bookmarkStart w:id="14" w:name="_Toc35393791"/>
      <w:r/>
      <w:bookmarkStart w:id="15" w:name="_Toc38985264"/>
      <w:r/>
      <w:bookmarkStart w:id="16" w:name="_Toc28359003"/>
      <w:r/>
      <w:bookmarkStart w:id="17" w:name="_Toc35393622"/>
      <w:r>
        <w:rPr>
          <w:rFonts w:hint="eastAsia" w:ascii="宋体" w:hAnsi="宋体" w:eastAsia="宋体" w:cs="宋体"/>
          <w:b/>
          <w:color w:val="000000"/>
          <w:sz w:val="24"/>
          <w:szCs w:val="24"/>
          <w:highlight w:val="none"/>
        </w:rPr>
        <w:t xml:space="preserve">二、申请人的资格要求</w:t>
      </w:r>
      <w:bookmarkEnd w:id="13"/>
      <w:r/>
      <w:bookmarkEnd w:id="14"/>
      <w:r/>
      <w:bookmarkEnd w:id="15"/>
      <w:r/>
      <w:bookmarkEnd w:id="16"/>
      <w:r/>
      <w:bookmarkEnd w:id="17"/>
      <w:r/>
      <w:r/>
    </w:p>
    <w:p>
      <w:pPr>
        <w:pStyle w:val="856"/>
        <w:ind w:firstLine="480"/>
        <w:jc w:val="both"/>
        <w:keepLines w:val="0"/>
        <w:keepNext w:val="0"/>
        <w:pageBreakBefore w:val="0"/>
        <w:spacing w:beforeAutospacing="0" w:afterAutospacing="0" w:line="430" w:lineRule="exact"/>
        <w:widowControl w:val="off"/>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1.满足《中华人民共和国政府采购法》第二十二条规定，并提供下列材料：</w:t>
      </w:r>
      <w:r/>
    </w:p>
    <w:p>
      <w:pPr>
        <w:pStyle w:val="856"/>
        <w:ind w:firstLine="480"/>
        <w:jc w:val="both"/>
        <w:keepLines w:val="0"/>
        <w:keepNext w:val="0"/>
        <w:pageBreakBefore w:val="0"/>
        <w:spacing w:beforeAutospacing="0" w:afterAutospacing="0" w:line="430" w:lineRule="exact"/>
        <w:widowControl w:val="off"/>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1.1 法人或者其他组织的营业执照等证明文件，自然人的身份证明；</w:t>
      </w:r>
      <w:r/>
    </w:p>
    <w:p>
      <w:pPr>
        <w:pStyle w:val="856"/>
        <w:ind w:firstLine="480"/>
        <w:jc w:val="both"/>
        <w:keepLines w:val="0"/>
        <w:keepNext w:val="0"/>
        <w:pageBreakBefore w:val="0"/>
        <w:spacing w:beforeAutospacing="0" w:afterAutospacing="0" w:line="43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1.2上一年度的财务状况报表（成立不满一年无需提供）；</w:t>
      </w:r>
      <w:r/>
    </w:p>
    <w:p>
      <w:pPr>
        <w:pStyle w:val="856"/>
        <w:ind w:firstLine="480"/>
        <w:jc w:val="both"/>
        <w:keepLines w:val="0"/>
        <w:keepNext w:val="0"/>
        <w:pageBreakBefore w:val="0"/>
        <w:spacing w:beforeAutospacing="0" w:afterAutospacing="0" w:line="430" w:lineRule="exact"/>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1.3</w:t>
      </w:r>
      <w:r>
        <w:rPr>
          <w:rFonts w:hint="eastAsia" w:ascii="宋体" w:hAnsi="宋体" w:eastAsia="宋体" w:cs="宋体"/>
          <w:color w:val="000000"/>
          <w:sz w:val="24"/>
          <w:szCs w:val="24"/>
          <w:highlight w:val="none"/>
        </w:rPr>
        <w:t xml:space="preserve">具备履行合同所必需的设备和专业技术能力的书面声明；</w:t>
      </w:r>
      <w:r/>
    </w:p>
    <w:p>
      <w:pPr>
        <w:pStyle w:val="856"/>
        <w:ind w:firstLine="480"/>
        <w:jc w:val="both"/>
        <w:keepLines w:val="0"/>
        <w:keepNext w:val="0"/>
        <w:pageBreakBefore w:val="0"/>
        <w:spacing w:beforeAutospacing="0" w:afterAutospacing="0" w:line="430" w:lineRule="exact"/>
        <w:widowControl w:val="off"/>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1.</w:t>
      </w:r>
      <w:r>
        <w:rPr>
          <w:rFonts w:hint="eastAsia" w:ascii="宋体" w:hAnsi="宋体" w:eastAsia="宋体" w:cs="宋体"/>
          <w:color w:val="000000"/>
          <w:sz w:val="24"/>
          <w:szCs w:val="24"/>
          <w:highlight w:val="none"/>
          <w:lang w:val="en-US" w:eastAsia="zh-CN"/>
        </w:rPr>
        <w:t xml:space="preserve">4</w:t>
      </w:r>
      <w:r>
        <w:rPr>
          <w:rFonts w:hint="eastAsia" w:ascii="宋体" w:hAnsi="宋体" w:eastAsia="宋体" w:cs="宋体"/>
          <w:color w:val="000000"/>
          <w:sz w:val="24"/>
          <w:szCs w:val="24"/>
          <w:highlight w:val="none"/>
        </w:rPr>
        <w:t xml:space="preserve">依法缴纳税收和社会保障资金的相关材料（提供提交响应文件截止时间前一年内至少一个月依法缴纳税收及缴纳社会保障资金的证明材料。供应商依法享受缓缴、免缴税收、社会保障资金的提供证明材料。）；</w:t>
      </w:r>
      <w:r/>
    </w:p>
    <w:p>
      <w:pPr>
        <w:pStyle w:val="856"/>
        <w:ind w:firstLine="480"/>
        <w:jc w:val="both"/>
        <w:keepLines w:val="0"/>
        <w:keepNext w:val="0"/>
        <w:pageBreakBefore w:val="0"/>
        <w:spacing w:beforeAutospacing="0" w:afterAutospacing="0" w:line="43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1</w:t>
      </w:r>
      <w:r>
        <w:rPr>
          <w:rFonts w:hint="eastAsia" w:ascii="宋体" w:hAnsi="宋体" w:eastAsia="宋体" w:cs="宋体"/>
          <w:color w:val="000000"/>
          <w:sz w:val="24"/>
          <w:szCs w:val="24"/>
          <w:highlight w:val="none"/>
        </w:rPr>
        <w:t xml:space="preserve">.5参加政府采购活动前3年内在经营活动中没有重大违法记录的书面声明。</w:t>
      </w:r>
      <w:r/>
    </w:p>
    <w:p>
      <w:pPr>
        <w:pStyle w:val="856"/>
        <w:ind w:firstLine="480"/>
        <w:jc w:val="both"/>
        <w:pageBreakBefore w:val="0"/>
        <w:spacing w:beforeAutospacing="0" w:afterAutospacing="0" w:line="420" w:lineRule="exact"/>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1.6法律、行政法规规定的其他条件。</w:t>
      </w:r>
      <w:r/>
    </w:p>
    <w:p>
      <w:pPr>
        <w:pStyle w:val="856"/>
        <w:ind w:firstLine="480"/>
        <w:jc w:val="both"/>
        <w:pageBreakBefore w:val="0"/>
        <w:spacing w:beforeAutospacing="0" w:afterAutospacing="0" w:line="42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1.7</w:t>
      </w:r>
      <w:r>
        <w:rPr>
          <w:rFonts w:hint="eastAsia" w:ascii="宋体" w:hAnsi="宋体" w:eastAsia="宋体" w:cs="宋体"/>
          <w:color w:val="000000"/>
          <w:sz w:val="24"/>
          <w:szCs w:val="24"/>
          <w:highlight w:val="none"/>
        </w:rPr>
        <w:t xml:space="preserve">在“信用中国”网站查询，无被列入失信被执行人、重大税收违法案件当事人名单、政府采购严重失信行为记录名单及其他不符合《中华人民共和国政府采购法》第二十二条规定条件的信用记录。（响应文件中无需提供证明材料）</w:t>
      </w:r>
      <w:r/>
    </w:p>
    <w:p>
      <w:pPr>
        <w:pStyle w:val="856"/>
        <w:ind w:firstLine="480"/>
        <w:jc w:val="both"/>
        <w:pageBreakBefore w:val="0"/>
        <w:spacing w:beforeAutospacing="0" w:afterAutospacing="0" w:line="42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1.8</w:t>
      </w:r>
      <w:r>
        <w:rPr>
          <w:rFonts w:hint="eastAsia" w:ascii="宋体" w:hAnsi="宋体" w:eastAsia="宋体" w:cs="宋体"/>
          <w:color w:val="000000"/>
          <w:sz w:val="24"/>
          <w:szCs w:val="24"/>
          <w:highlight w:val="none"/>
        </w:rPr>
        <w:t xml:space="preserve">单位负责人为同一人或者存在直接控股、管理关系的不同供应商，不得参加同一合同项下的政府采购活动。</w:t>
      </w:r>
      <w:r/>
    </w:p>
    <w:p>
      <w:pPr>
        <w:ind w:firstLine="480"/>
        <w:pageBreakBefore w:val="0"/>
        <w:spacing w:line="460" w:lineRule="exact"/>
        <w:rPr>
          <w:rFonts w:hint="eastAsia" w:ascii="宋体" w:hAnsi="宋体" w:cs="宋体"/>
          <w:color w:val="auto"/>
          <w:sz w:val="24"/>
          <w:szCs w:val="24"/>
          <w:highlight w:val="none"/>
          <w:lang w:val="en-US" w:eastAsia="zh-CN"/>
        </w:rPr>
      </w:pPr>
      <w:r>
        <w:rPr>
          <w:rFonts w:hint="eastAsia" w:ascii="宋体" w:hAnsi="宋体" w:eastAsia="宋体" w:cs="宋体"/>
          <w:color w:val="000000"/>
          <w:sz w:val="24"/>
          <w:szCs w:val="24"/>
          <w:highlight w:val="none"/>
          <w:shd w:val="clear" w:color="auto" w:fill="auto"/>
        </w:rPr>
        <w:t xml:space="preserve">2</w:t>
      </w:r>
      <w:r>
        <w:rPr>
          <w:rFonts w:hint="eastAsia" w:ascii="宋体" w:hAnsi="宋体" w:eastAsia="宋体" w:cs="宋体"/>
          <w:color w:val="000000"/>
          <w:sz w:val="24"/>
          <w:szCs w:val="24"/>
          <w:highlight w:val="none"/>
          <w:shd w:val="clear" w:color="auto" w:fill="auto"/>
          <w:lang w:val="en-US" w:eastAsia="zh-CN"/>
        </w:rPr>
        <w:t xml:space="preserve">.</w:t>
      </w:r>
      <w:r>
        <w:rPr>
          <w:rFonts w:hint="eastAsia" w:ascii="宋体" w:hAnsi="宋体" w:eastAsia="宋体" w:cs="宋体"/>
          <w:color w:val="000000"/>
          <w:sz w:val="24"/>
          <w:szCs w:val="24"/>
          <w:highlight w:val="none"/>
          <w:shd w:val="clear" w:color="auto" w:fill="auto"/>
        </w:rPr>
        <w:t xml:space="preserve">落实政府采购政策需满足的资格要求：</w:t>
      </w:r>
      <w:r>
        <w:rPr>
          <w:rFonts w:hint="eastAsia" w:ascii="宋体" w:hAnsi="宋体" w:eastAsia="宋体" w:cs="宋体"/>
          <w:b w:val="0"/>
          <w:bCs w:val="0"/>
          <w:sz w:val="24"/>
          <w:szCs w:val="24"/>
          <w:highlight w:val="none"/>
          <w:lang w:val="en-US" w:eastAsia="zh-CN"/>
        </w:rPr>
        <w:t xml:space="preserve">本项目为专门面向中小企业采购的项目,</w:t>
      </w:r>
      <w:r>
        <w:rPr>
          <w:rFonts w:hint="eastAsia" w:ascii="宋体" w:hAnsi="宋体"/>
          <w:sz w:val="24"/>
        </w:rPr>
        <w:t xml:space="preserve">所属行业为</w:t>
      </w:r>
      <w:r>
        <w:rPr>
          <w:rFonts w:hint="eastAsia" w:ascii="宋体" w:hAnsi="宋体"/>
          <w:sz w:val="24"/>
          <w:lang w:eastAsia="zh-CN"/>
        </w:rPr>
        <w:t xml:space="preserve">工</w:t>
      </w:r>
      <w:r>
        <w:rPr>
          <w:rFonts w:hint="eastAsia" w:ascii="宋体" w:hAnsi="宋体"/>
          <w:sz w:val="24"/>
        </w:rPr>
        <w:t xml:space="preserve">业，</w:t>
      </w:r>
      <w:r>
        <w:rPr>
          <w:rFonts w:hint="eastAsia" w:ascii="宋体" w:hAnsi="宋体" w:eastAsia="宋体" w:cs="宋体"/>
          <w:b w:val="0"/>
          <w:bCs w:val="0"/>
          <w:sz w:val="24"/>
          <w:szCs w:val="24"/>
          <w:highlight w:val="none"/>
          <w:lang w:val="en-US" w:eastAsia="zh-CN"/>
        </w:rPr>
        <w:t xml:space="preserve">供应商必须为中小</w:t>
      </w:r>
      <w:r>
        <w:rPr>
          <w:rFonts w:hint="eastAsia" w:ascii="宋体" w:hAnsi="宋体" w:cs="宋体"/>
          <w:b w:val="0"/>
          <w:bCs w:val="0"/>
          <w:sz w:val="24"/>
          <w:szCs w:val="24"/>
          <w:highlight w:val="none"/>
          <w:lang w:val="en-US" w:eastAsia="zh-CN"/>
        </w:rPr>
        <w:t xml:space="preserve">微</w:t>
      </w:r>
      <w:r>
        <w:rPr>
          <w:rFonts w:hint="eastAsia" w:ascii="宋体" w:hAnsi="宋体" w:eastAsia="宋体" w:cs="宋体"/>
          <w:b w:val="0"/>
          <w:bCs w:val="0"/>
          <w:sz w:val="24"/>
          <w:szCs w:val="24"/>
          <w:highlight w:val="none"/>
          <w:lang w:val="en-US" w:eastAsia="zh-CN"/>
        </w:rPr>
        <w:t xml:space="preserve">企业，</w:t>
      </w:r>
      <w:r>
        <w:rPr>
          <w:rFonts w:hint="eastAsia" w:ascii="宋体" w:hAnsi="宋体" w:cs="宋体"/>
          <w:color w:val="auto"/>
          <w:sz w:val="24"/>
          <w:szCs w:val="24"/>
          <w:highlight w:val="none"/>
        </w:rPr>
        <w:t xml:space="preserve">投标人需按照采购文件的要求提供相应的《</w:t>
      </w:r>
      <w:r>
        <w:rPr>
          <w:rFonts w:hint="eastAsia" w:ascii="宋体" w:hAnsi="宋体" w:cs="宋体"/>
          <w:color w:val="auto"/>
          <w:sz w:val="24"/>
          <w:szCs w:val="24"/>
          <w:highlight w:val="none"/>
          <w:lang w:eastAsia="zh-CN"/>
        </w:rPr>
        <w:t xml:space="preserve">中小</w:t>
      </w:r>
      <w:r>
        <w:rPr>
          <w:rFonts w:hint="eastAsia" w:ascii="宋体" w:hAnsi="宋体" w:cs="宋体"/>
          <w:color w:val="auto"/>
          <w:sz w:val="24"/>
          <w:szCs w:val="24"/>
          <w:highlight w:val="none"/>
        </w:rPr>
        <w:t xml:space="preserve">企业声明函》。企业标准请参照《关于印发中小企业划型标准规定的通知》（工信部联企业[2011]300号）文件规定自行填写。</w:t>
      </w:r>
      <w:r>
        <w:rPr>
          <w:rFonts w:hint="eastAsia" w:ascii="宋体" w:hAnsi="宋体" w:cs="宋体"/>
          <w:color w:val="auto"/>
          <w:sz w:val="24"/>
          <w:szCs w:val="24"/>
          <w:highlight w:val="none"/>
          <w:lang w:val="en-US" w:eastAsia="zh-CN"/>
        </w:rPr>
        <w:t xml:space="preserve">监狱企业、残疾人福利性单位视同小微企业。</w:t>
      </w:r>
      <w:r/>
    </w:p>
    <w:p>
      <w:pPr>
        <w:pStyle w:val="856"/>
        <w:ind w:left="0" w:right="0" w:firstLine="480"/>
        <w:jc w:val="both"/>
        <w:keepLines w:val="0"/>
        <w:keepNext w:val="0"/>
        <w:pageBreakBefore w:val="0"/>
        <w:spacing w:beforeAutospacing="0" w:afterAutospacing="0" w:line="430" w:lineRule="exact"/>
        <w:shd w:val="clear" w:color="auto" w:fill="ffffff"/>
        <w:widowControl w:val="off"/>
        <w:rPr>
          <w:rFonts w:hint="eastAsia" w:ascii="宋体" w:hAnsi="宋体" w:eastAsia="宋体" w:cs="宋体"/>
          <w:color w:val="000000"/>
          <w:sz w:val="24"/>
          <w:szCs w:val="24"/>
          <w:highlight w:val="none"/>
          <w:shd w:val="clear" w:color="auto" w:fill="auto"/>
          <w:lang w:eastAsia="zh-CN"/>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color w:val="000000"/>
          <w:sz w:val="24"/>
          <w:szCs w:val="24"/>
          <w:highlight w:val="none"/>
          <w:shd w:val="clear" w:color="auto" w:fill="auto"/>
          <w:lang w:val="en-US" w:eastAsia="zh-CN"/>
        </w:rPr>
        <w:t xml:space="preserve">3.</w:t>
      </w:r>
      <w:r>
        <w:rPr>
          <w:rFonts w:hint="eastAsia" w:ascii="宋体" w:hAnsi="宋体" w:eastAsia="宋体" w:cs="宋体"/>
          <w:color w:val="000000"/>
          <w:sz w:val="24"/>
          <w:szCs w:val="24"/>
          <w:highlight w:val="none"/>
          <w:shd w:val="clear" w:color="auto" w:fill="auto"/>
        </w:rPr>
        <w:t xml:space="preserve">本项目的特定资格要求</w:t>
      </w:r>
      <w:r>
        <w:rPr>
          <w:rFonts w:hint="eastAsia" w:ascii="宋体" w:hAnsi="宋体" w:eastAsia="宋体" w:cs="宋体"/>
          <w:color w:val="000000"/>
          <w:sz w:val="24"/>
          <w:szCs w:val="24"/>
          <w:highlight w:val="none"/>
          <w:shd w:val="clear" w:color="auto" w:fill="auto"/>
          <w:lang w:eastAsia="zh-CN"/>
        </w:rPr>
        <w:t xml:space="preserve">：无</w:t>
      </w:r>
      <w:r/>
    </w:p>
    <w:p>
      <w:pPr>
        <w:pStyle w:val="856"/>
        <w:ind w:firstLine="482"/>
        <w:jc w:val="both"/>
        <w:keepLines w:val="0"/>
        <w:keepNext w:val="0"/>
        <w:pageBreakBefore w:val="0"/>
        <w:spacing w:beforeAutospacing="0" w:afterAutospacing="0" w:line="430" w:lineRule="exact"/>
        <w:widowControl w:val="off"/>
        <w:rPr>
          <w:rFonts w:hint="eastAsia" w:ascii="宋体" w:hAnsi="宋体" w:eastAsia="宋体" w:cs="宋体"/>
          <w:sz w:val="24"/>
          <w:szCs w:val="24"/>
          <w:highlight w:val="none"/>
          <w:shd w:val="clear" w:color="auto" w:fill="auto"/>
        </w:rPr>
      </w:pPr>
      <w:r>
        <w:rPr>
          <w:rFonts w:hint="eastAsia" w:ascii="宋体" w:hAnsi="宋体" w:eastAsia="宋体" w:cs="宋体"/>
          <w:b/>
          <w:color w:val="000000"/>
          <w:sz w:val="24"/>
          <w:szCs w:val="24"/>
          <w:highlight w:val="none"/>
          <w:shd w:val="clear" w:color="auto" w:fill="auto"/>
        </w:rPr>
        <w:t xml:space="preserve">三、获取招标文件</w:t>
      </w:r>
      <w:r/>
    </w:p>
    <w:p>
      <w:pPr>
        <w:pStyle w:val="856"/>
        <w:ind w:left="0" w:right="0" w:firstLine="480"/>
        <w:jc w:val="both"/>
        <w:keepLines w:val="0"/>
        <w:keepNext w:val="0"/>
        <w:pageBreakBefore w:val="0"/>
        <w:spacing w:beforeAutospacing="0" w:afterAutospacing="0" w:line="430" w:lineRule="exact"/>
        <w:shd w:val="clear" w:color="auto" w:fill="ffffff"/>
        <w:widowControl w:val="off"/>
        <w:rPr>
          <w:rFonts w:hint="eastAsia" w:ascii="宋体" w:hAnsi="宋体" w:eastAsia="宋体" w:cs="宋体"/>
          <w:color w:val="000000"/>
          <w:sz w:val="24"/>
          <w:szCs w:val="24"/>
          <w:highlight w:val="none"/>
          <w:shd w:val="clear" w:color="auto" w:fill="auto"/>
        </w:rPr>
        <w:pBdr>
          <w:top w:val="none" w:color="auto" w:sz="0" w:space="0"/>
          <w:left w:val="none" w:color="auto" w:sz="0" w:space="0"/>
          <w:bottom w:val="none" w:color="auto" w:sz="0" w:space="0"/>
          <w:right w:val="none" w:color="auto" w:sz="0" w:space="0"/>
        </w:pBdr>
        <w:suppressLineNumbers w:val="0"/>
      </w:pPr>
      <w:r/>
      <w:bookmarkStart w:id="18" w:name="_Toc35393624"/>
      <w:r/>
      <w:bookmarkStart w:id="19" w:name="_Toc35393793"/>
      <w:r/>
      <w:bookmarkStart w:id="20" w:name="_Toc28359082"/>
      <w:r/>
      <w:bookmarkStart w:id="21" w:name="_Toc28359005"/>
      <w:r/>
      <w:bookmarkStart w:id="22" w:name="_Toc38985266"/>
      <w:r>
        <w:rPr>
          <w:rFonts w:hint="eastAsia" w:ascii="宋体" w:hAnsi="宋体" w:eastAsia="宋体" w:cs="宋体"/>
          <w:color w:val="000000"/>
          <w:sz w:val="24"/>
          <w:szCs w:val="24"/>
          <w:highlight w:val="none"/>
          <w:shd w:val="clear" w:color="auto" w:fill="auto"/>
        </w:rPr>
        <w:t xml:space="preserve">1.时间：</w:t>
      </w:r>
      <w:bookmarkEnd w:id="18"/>
      <w:r/>
      <w:bookmarkEnd w:id="19"/>
      <w:r/>
      <w:bookmarkEnd w:id="20"/>
      <w:r/>
      <w:bookmarkEnd w:id="21"/>
      <w:r/>
      <w:bookmarkEnd w:id="22"/>
      <w:r>
        <w:rPr>
          <w:rFonts w:hint="eastAsia" w:ascii="宋体" w:hAnsi="宋体" w:eastAsia="宋体" w:cs="宋体"/>
          <w:color w:val="000000"/>
          <w:sz w:val="24"/>
          <w:szCs w:val="24"/>
          <w:highlight w:val="none"/>
          <w:shd w:val="clear" w:color="auto" w:fill="auto"/>
        </w:rPr>
        <w:t xml:space="preserve">自招标文件公告发布之日起5个工作日。</w:t>
      </w:r>
      <w:r/>
    </w:p>
    <w:p>
      <w:pPr>
        <w:ind w:firstLine="480"/>
        <w:jc w:val="left"/>
        <w:keepLines w:val="0"/>
        <w:keepNext w:val="0"/>
        <w:pageBreakBefore w:val="0"/>
        <w:spacing w:beforeAutospacing="0" w:afterAutospacing="0" w:line="430" w:lineRule="exact"/>
        <w:widowControl w:val="off"/>
        <w:rPr>
          <w:rFonts w:hint="eastAsia" w:ascii="宋体" w:hAnsi="宋体" w:eastAsia="宋体" w:cs="宋体"/>
          <w:color w:val="000000"/>
          <w:sz w:val="24"/>
          <w:szCs w:val="24"/>
          <w:highlight w:val="none"/>
          <w:shd w:val="clear" w:color="auto" w:fill="auto"/>
          <w:lang w:val="en-US" w:eastAsia="zh-CN" w:bidi="ar-SA"/>
        </w:rPr>
        <w:suppressLineNumbers w:val="0"/>
      </w:pPr>
      <w:r>
        <w:rPr>
          <w:rFonts w:hint="eastAsia" w:ascii="宋体" w:hAnsi="宋体" w:eastAsia="宋体" w:cs="宋体"/>
          <w:color w:val="000000"/>
          <w:sz w:val="24"/>
          <w:szCs w:val="24"/>
          <w:highlight w:val="none"/>
          <w:shd w:val="clear" w:color="auto" w:fill="auto"/>
          <w:lang w:val="en-US" w:eastAsia="zh-CN" w:bidi="ar-SA"/>
        </w:rPr>
        <w:t xml:space="preserve">2.地点：“苏采云”系统内免费下载（投标人必须在苏采云系统中获取采购文件，方能参与政府采购项目）。</w:t>
      </w:r>
      <w:r/>
    </w:p>
    <w:p>
      <w:pPr>
        <w:pStyle w:val="856"/>
        <w:ind w:left="0" w:right="0" w:firstLine="480"/>
        <w:jc w:val="both"/>
        <w:keepLines w:val="0"/>
        <w:keepNext w:val="0"/>
        <w:pageBreakBefore w:val="0"/>
        <w:spacing w:beforeAutospacing="0" w:afterAutospacing="0" w:line="430" w:lineRule="exact"/>
        <w:shd w:val="clear" w:color="auto" w:fill="ffffff"/>
        <w:widowControl w:val="off"/>
        <w:rPr>
          <w:rFonts w:hint="eastAsia" w:ascii="宋体" w:hAnsi="宋体" w:eastAsia="宋体" w:cs="宋体"/>
          <w:color w:val="000000"/>
          <w:sz w:val="24"/>
          <w:szCs w:val="24"/>
          <w:highlight w:val="none"/>
          <w:shd w:val="clear" w:color="auto" w:fill="auto"/>
          <w:lang w:val="en-US" w:eastAsia="zh-CN"/>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color w:val="000000"/>
          <w:sz w:val="24"/>
          <w:szCs w:val="24"/>
          <w:highlight w:val="none"/>
          <w:shd w:val="clear" w:color="auto" w:fill="auto"/>
          <w:lang w:val="en-US" w:eastAsia="zh-CN"/>
        </w:rPr>
        <w:t xml:space="preserve">3.方式：本项目采用网上注册登记方式。 </w:t>
      </w:r>
      <w:r/>
    </w:p>
    <w:p>
      <w:pPr>
        <w:ind w:firstLine="480"/>
        <w:jc w:val="left"/>
        <w:keepLines w:val="0"/>
        <w:keepNext w:val="0"/>
        <w:pageBreakBefore w:val="0"/>
        <w:spacing w:beforeAutospacing="0" w:afterAutospacing="0" w:line="430" w:lineRule="exact"/>
        <w:widowControl w:val="off"/>
        <w:rPr>
          <w:rFonts w:hint="eastAsia" w:ascii="宋体" w:hAnsi="宋体" w:eastAsia="宋体" w:cs="宋体"/>
          <w:sz w:val="24"/>
          <w:szCs w:val="24"/>
          <w:highlight w:val="none"/>
          <w:shd w:val="clear" w:color="auto" w:fill="auto"/>
        </w:rPr>
      </w:pPr>
      <w:r>
        <w:rPr>
          <w:rFonts w:hint="eastAsia" w:ascii="宋体" w:hAnsi="宋体" w:eastAsia="宋体" w:cs="宋体"/>
          <w:color w:val="000000"/>
          <w:sz w:val="24"/>
          <w:szCs w:val="24"/>
          <w:highlight w:val="none"/>
          <w:shd w:val="clear" w:color="auto" w:fill="auto"/>
          <w:lang w:val="en-US" w:eastAsia="zh-CN"/>
        </w:rPr>
        <w:t xml:space="preserve">4.售价：0元</w:t>
      </w:r>
      <w:r/>
    </w:p>
    <w:p>
      <w:pPr>
        <w:pStyle w:val="856"/>
        <w:ind w:firstLine="482"/>
        <w:jc w:val="both"/>
        <w:keepLines w:val="0"/>
        <w:keepNext w:val="0"/>
        <w:pageBreakBefore w:val="0"/>
        <w:spacing w:beforeAutospacing="0" w:afterAutospacing="0" w:line="430" w:lineRule="exact"/>
        <w:widowControl w:val="off"/>
        <w:rPr>
          <w:rFonts w:hint="eastAsia" w:ascii="宋体" w:hAnsi="宋体" w:eastAsia="宋体" w:cs="宋体"/>
          <w:sz w:val="24"/>
          <w:szCs w:val="24"/>
          <w:highlight w:val="none"/>
          <w:shd w:val="clear" w:color="auto" w:fill="auto"/>
        </w:rPr>
      </w:pPr>
      <w:r>
        <w:rPr>
          <w:rFonts w:hint="eastAsia" w:ascii="宋体" w:hAnsi="宋体" w:eastAsia="宋体" w:cs="宋体"/>
          <w:b/>
          <w:color w:val="000000"/>
          <w:sz w:val="24"/>
          <w:szCs w:val="24"/>
          <w:highlight w:val="none"/>
          <w:shd w:val="clear" w:color="auto" w:fill="auto"/>
        </w:rPr>
        <w:t xml:space="preserve">四、提交投标文件截止时间、开标时间和地点</w:t>
      </w:r>
      <w:bookmarkStart w:id="205" w:name="_GoBack"/>
      <w:r/>
      <w:bookmarkEnd w:id="205"/>
      <w:r/>
      <w:r/>
    </w:p>
    <w:p>
      <w:pPr>
        <w:pStyle w:val="856"/>
        <w:ind w:left="0" w:right="0" w:firstLine="480"/>
        <w:jc w:val="both"/>
        <w:keepLines w:val="0"/>
        <w:keepNext w:val="0"/>
        <w:pageBreakBefore w:val="0"/>
        <w:spacing w:beforeAutospacing="0" w:afterAutospacing="0" w:line="430" w:lineRule="exact"/>
        <w:shd w:val="clear" w:color="auto" w:fill="ffffff"/>
        <w:widowControl w:val="off"/>
        <w:rPr>
          <w:rFonts w:hint="eastAsia" w:ascii="宋体" w:hAnsi="宋体" w:eastAsia="宋体" w:cs="宋体"/>
          <w:sz w:val="24"/>
          <w:szCs w:val="24"/>
          <w:highlight w:val="none"/>
          <w:shd w:val="clear" w:color="auto" w:fill="auto"/>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color w:val="000000"/>
          <w:sz w:val="24"/>
          <w:szCs w:val="24"/>
          <w:highlight w:val="none"/>
          <w:shd w:val="clear" w:color="auto" w:fill="auto"/>
        </w:rPr>
        <w:t xml:space="preserve">1.时间：</w:t>
      </w:r>
      <w:r>
        <w:rPr>
          <w:rFonts w:hint="eastAsia" w:ascii="宋体" w:hAnsi="宋体" w:eastAsia="宋体" w:cs="宋体"/>
          <w:i w:val="0"/>
          <w:iCs w:val="0"/>
          <w:caps w:val="0"/>
          <w:color w:val="333333"/>
          <w:spacing w:val="0"/>
          <w:sz w:val="24"/>
          <w:szCs w:val="24"/>
          <w:highlight w:val="none"/>
          <w:u w:val="single"/>
          <w:shd w:val="clear" w:color="auto" w:fill="auto"/>
          <w:lang w:val="en-US" w:eastAsia="zh-CN"/>
        </w:rPr>
        <w:t xml:space="preserve">2025</w:t>
      </w:r>
      <w:r>
        <w:rPr>
          <w:rFonts w:hint="eastAsia" w:ascii="宋体" w:hAnsi="宋体" w:eastAsia="宋体" w:cs="宋体"/>
          <w:i w:val="0"/>
          <w:iCs w:val="0"/>
          <w:caps w:val="0"/>
          <w:color w:val="333333"/>
          <w:spacing w:val="0"/>
          <w:sz w:val="24"/>
          <w:szCs w:val="24"/>
          <w:highlight w:val="none"/>
          <w:u w:val="single"/>
          <w:shd w:val="clear" w:color="auto" w:fill="auto"/>
        </w:rPr>
        <w:t xml:space="preserve">年</w:t>
      </w:r>
      <w:r>
        <w:rPr>
          <w:rFonts w:hint="eastAsia" w:ascii="宋体" w:hAnsi="宋体" w:eastAsia="宋体" w:cs="宋体"/>
          <w:i w:val="0"/>
          <w:iCs w:val="0"/>
          <w:caps w:val="0"/>
          <w:color w:val="333333"/>
          <w:spacing w:val="0"/>
          <w:sz w:val="24"/>
          <w:szCs w:val="24"/>
          <w:highlight w:val="none"/>
          <w:u w:val="single"/>
          <w:shd w:val="clear" w:color="auto" w:fill="auto"/>
          <w:lang w:val="en-US" w:eastAsia="zh-CN"/>
        </w:rPr>
        <w:t xml:space="preserve">12</w:t>
      </w:r>
      <w:r>
        <w:rPr>
          <w:rFonts w:hint="eastAsia" w:ascii="宋体" w:hAnsi="宋体" w:eastAsia="宋体" w:cs="宋体"/>
          <w:i w:val="0"/>
          <w:iCs w:val="0"/>
          <w:caps w:val="0"/>
          <w:color w:val="333333"/>
          <w:spacing w:val="0"/>
          <w:sz w:val="24"/>
          <w:szCs w:val="24"/>
          <w:highlight w:val="none"/>
          <w:u w:val="single"/>
          <w:shd w:val="clear" w:color="auto" w:fill="auto"/>
        </w:rPr>
        <w:t xml:space="preserve">月</w:t>
      </w:r>
      <w:r>
        <w:rPr>
          <w:rFonts w:hint="eastAsia" w:ascii="宋体" w:hAnsi="宋体" w:eastAsia="宋体" w:cs="宋体"/>
          <w:i w:val="0"/>
          <w:iCs w:val="0"/>
          <w:caps w:val="0"/>
          <w:color w:val="333333"/>
          <w:spacing w:val="0"/>
          <w:sz w:val="24"/>
          <w:szCs w:val="24"/>
          <w:highlight w:val="none"/>
          <w:u w:val="single"/>
          <w:shd w:val="clear" w:color="auto" w:fill="auto"/>
          <w:lang w:val="en-US" w:eastAsia="zh-CN"/>
        </w:rPr>
        <w:t xml:space="preserve">12</w:t>
      </w:r>
      <w:r>
        <w:rPr>
          <w:rFonts w:hint="eastAsia" w:ascii="宋体" w:hAnsi="宋体" w:eastAsia="宋体" w:cs="宋体"/>
          <w:i w:val="0"/>
          <w:iCs w:val="0"/>
          <w:caps w:val="0"/>
          <w:color w:val="333333"/>
          <w:spacing w:val="0"/>
          <w:sz w:val="24"/>
          <w:szCs w:val="24"/>
          <w:highlight w:val="none"/>
          <w:u w:val="single"/>
          <w:shd w:val="clear" w:color="auto" w:fill="auto"/>
        </w:rPr>
        <w:t xml:space="preserve">日</w:t>
      </w:r>
      <w:r>
        <w:rPr>
          <w:rFonts w:hint="eastAsia" w:ascii="宋体" w:hAnsi="宋体" w:eastAsia="宋体" w:cs="宋体"/>
          <w:i w:val="0"/>
          <w:iCs w:val="0"/>
          <w:caps w:val="0"/>
          <w:color w:val="333333"/>
          <w:spacing w:val="0"/>
          <w:sz w:val="24"/>
          <w:szCs w:val="24"/>
          <w:highlight w:val="none"/>
          <w:u w:val="single"/>
          <w:shd w:val="clear" w:color="auto" w:fill="auto"/>
          <w:lang w:val="en-US" w:eastAsia="zh-CN"/>
        </w:rPr>
        <w:t xml:space="preserve">9点00分</w:t>
      </w:r>
      <w:r>
        <w:rPr>
          <w:rFonts w:hint="eastAsia" w:ascii="宋体" w:hAnsi="宋体" w:eastAsia="宋体" w:cs="宋体"/>
          <w:color w:val="000000"/>
          <w:sz w:val="24"/>
          <w:szCs w:val="24"/>
          <w:highlight w:val="none"/>
          <w:shd w:val="clear" w:color="auto" w:fill="auto"/>
        </w:rPr>
        <w:t xml:space="preserve">（北京时间）</w:t>
      </w:r>
      <w:r/>
    </w:p>
    <w:p>
      <w:pPr>
        <w:pStyle w:val="856"/>
        <w:ind w:firstLine="480"/>
        <w:jc w:val="both"/>
        <w:keepLines w:val="0"/>
        <w:keepNext w:val="0"/>
        <w:pageBreakBefore w:val="0"/>
        <w:spacing w:beforeAutospacing="0" w:afterAutospacing="0" w:line="430" w:lineRule="exact"/>
        <w:widowControl w:val="off"/>
        <w:rPr>
          <w:rFonts w:hint="eastAsia" w:ascii="宋体" w:hAnsi="宋体" w:eastAsia="宋体" w:cs="宋体"/>
          <w:sz w:val="24"/>
          <w:szCs w:val="24"/>
          <w:highlight w:val="none"/>
          <w:shd w:val="clear" w:color="auto" w:fill="auto"/>
          <w:lang w:eastAsia="zh-CN"/>
        </w:rPr>
      </w:pPr>
      <w:r>
        <w:rPr>
          <w:rFonts w:hint="eastAsia" w:ascii="宋体" w:hAnsi="宋体" w:eastAsia="宋体" w:cs="宋体"/>
          <w:color w:val="000000"/>
          <w:sz w:val="24"/>
          <w:szCs w:val="24"/>
          <w:highlight w:val="none"/>
          <w:shd w:val="clear" w:color="auto" w:fill="auto"/>
        </w:rPr>
        <w:t xml:space="preserve">2.地点：苏采云“不见面”开标大厅 </w:t>
      </w:r>
      <w:r>
        <w:rPr>
          <w:rFonts w:hint="eastAsia" w:ascii="宋体" w:hAnsi="宋体" w:eastAsia="宋体" w:cs="宋体"/>
          <w:color w:val="000000"/>
          <w:sz w:val="24"/>
          <w:szCs w:val="24"/>
          <w:highlight w:val="none"/>
          <w:shd w:val="clear" w:color="auto" w:fill="auto"/>
          <w:lang w:eastAsia="zh-CN"/>
        </w:rPr>
        <w:t xml:space="preserve">。</w:t>
      </w:r>
      <w:r/>
    </w:p>
    <w:p>
      <w:pPr>
        <w:pStyle w:val="856"/>
        <w:ind w:firstLine="482"/>
        <w:jc w:val="both"/>
        <w:keepLines w:val="0"/>
        <w:keepNext w:val="0"/>
        <w:pageBreakBefore w:val="0"/>
        <w:spacing w:beforeAutospacing="0" w:afterAutospacing="0" w:line="430" w:lineRule="exact"/>
        <w:widowControl w:val="off"/>
        <w:rPr>
          <w:rFonts w:hint="eastAsia" w:ascii="宋体" w:hAnsi="宋体" w:eastAsia="宋体" w:cs="宋体"/>
          <w:sz w:val="24"/>
          <w:szCs w:val="24"/>
          <w:highlight w:val="none"/>
        </w:rPr>
      </w:pPr>
      <w:r/>
      <w:bookmarkStart w:id="23" w:name="_Toc35393625"/>
      <w:r/>
      <w:bookmarkStart w:id="24" w:name="_Toc28359084"/>
      <w:r/>
      <w:bookmarkStart w:id="25" w:name="_Toc38985267"/>
      <w:r/>
      <w:bookmarkStart w:id="26" w:name="_Toc35393794"/>
      <w:r/>
      <w:bookmarkStart w:id="27" w:name="_Toc28359007"/>
      <w:r>
        <w:rPr>
          <w:rFonts w:hint="eastAsia" w:ascii="宋体" w:hAnsi="宋体" w:eastAsia="宋体" w:cs="宋体"/>
          <w:b/>
          <w:color w:val="000000"/>
          <w:sz w:val="24"/>
          <w:szCs w:val="24"/>
          <w:highlight w:val="none"/>
        </w:rPr>
        <w:t xml:space="preserve">五、公告期限</w:t>
      </w:r>
      <w:bookmarkEnd w:id="23"/>
      <w:r/>
      <w:bookmarkEnd w:id="24"/>
      <w:r/>
      <w:bookmarkEnd w:id="25"/>
      <w:r/>
      <w:bookmarkEnd w:id="26"/>
      <w:r/>
      <w:bookmarkEnd w:id="27"/>
      <w:r/>
      <w:r/>
    </w:p>
    <w:p>
      <w:pPr>
        <w:pStyle w:val="856"/>
        <w:ind w:left="0" w:right="0" w:firstLine="480"/>
        <w:jc w:val="both"/>
        <w:keepLines w:val="0"/>
        <w:keepNext w:val="0"/>
        <w:pageBreakBefore w:val="0"/>
        <w:spacing w:beforeAutospacing="0" w:afterAutospacing="0" w:line="430" w:lineRule="exact"/>
        <w:shd w:val="clear" w:color="auto" w:fill="ffffff"/>
        <w:widowControl w:val="off"/>
        <w:rPr>
          <w:rFonts w:hint="eastAsia" w:ascii="宋体" w:hAnsi="宋体" w:eastAsia="宋体" w:cs="宋体"/>
          <w:i w:val="0"/>
          <w:iCs w:val="0"/>
          <w:caps w:val="0"/>
          <w:color w:val="333333"/>
          <w:spacing w:val="0"/>
          <w:sz w:val="24"/>
          <w:szCs w:val="24"/>
          <w:highlight w:val="none"/>
          <w:shd w:val="clear" w:color="auto" w:fill="ffffff"/>
          <w:lang w:val="en-US" w:eastAsia="zh-CN"/>
        </w:rPr>
        <w:pBdr>
          <w:top w:val="none" w:color="auto" w:sz="0" w:space="0"/>
          <w:left w:val="none" w:color="auto" w:sz="0" w:space="0"/>
          <w:bottom w:val="none" w:color="auto" w:sz="0" w:space="0"/>
          <w:right w:val="none" w:color="auto" w:sz="0" w:space="0"/>
        </w:pBdr>
        <w:suppressLineNumbers w:val="0"/>
      </w:pPr>
      <w:r/>
      <w:bookmarkStart w:id="28" w:name="_Toc38985268"/>
      <w:r/>
      <w:bookmarkStart w:id="29" w:name="_Toc35393795"/>
      <w:r/>
      <w:bookmarkStart w:id="30" w:name="_Toc35393626"/>
      <w:r>
        <w:rPr>
          <w:rFonts w:hint="eastAsia" w:ascii="宋体" w:hAnsi="宋体" w:eastAsia="宋体" w:cs="宋体"/>
          <w:i w:val="0"/>
          <w:iCs w:val="0"/>
          <w:caps w:val="0"/>
          <w:color w:val="333333"/>
          <w:spacing w:val="0"/>
          <w:sz w:val="24"/>
          <w:szCs w:val="24"/>
          <w:highlight w:val="none"/>
          <w:shd w:val="clear" w:color="auto" w:fill="ffffff"/>
          <w:lang w:val="en-US" w:eastAsia="zh-CN"/>
        </w:rPr>
        <w:t xml:space="preserve">自本公告发布之日起5个工作日。</w:t>
      </w:r>
      <w:bookmarkEnd w:id="28"/>
      <w:r/>
      <w:bookmarkEnd w:id="29"/>
      <w:r/>
      <w:bookmarkEnd w:id="30"/>
      <w:r/>
      <w:r/>
    </w:p>
    <w:p>
      <w:pPr>
        <w:pStyle w:val="856"/>
        <w:ind w:firstLine="482"/>
        <w:jc w:val="both"/>
        <w:keepLines w:val="0"/>
        <w:keepNext w:val="0"/>
        <w:pageBreakBefore w:val="0"/>
        <w:spacing w:beforeAutospacing="0" w:afterAutospacing="0" w:line="430" w:lineRule="exact"/>
        <w:widowControl w:val="off"/>
        <w:rPr>
          <w:rFonts w:hint="eastAsia" w:ascii="宋体" w:hAnsi="宋体" w:eastAsia="宋体" w:cs="宋体"/>
          <w:sz w:val="24"/>
          <w:szCs w:val="24"/>
          <w:highlight w:val="none"/>
        </w:rPr>
      </w:pPr>
      <w:r>
        <w:rPr>
          <w:rFonts w:hint="eastAsia" w:ascii="宋体" w:hAnsi="宋体" w:eastAsia="宋体" w:cs="宋体"/>
          <w:b/>
          <w:color w:val="000000"/>
          <w:sz w:val="24"/>
          <w:szCs w:val="24"/>
          <w:highlight w:val="none"/>
        </w:rPr>
        <w:t xml:space="preserve">六、其他补充事宜</w:t>
      </w:r>
      <w:r/>
    </w:p>
    <w:p>
      <w:pPr>
        <w:pStyle w:val="856"/>
        <w:ind w:left="0" w:right="0" w:firstLine="480"/>
        <w:jc w:val="both"/>
        <w:keepLines w:val="0"/>
        <w:keepNext w:val="0"/>
        <w:pageBreakBefore w:val="0"/>
        <w:spacing w:beforeAutospacing="0" w:afterAutospacing="0" w:line="430" w:lineRule="exact"/>
        <w:shd w:val="clear" w:color="auto" w:fill="ffffff"/>
        <w:widowControl w:val="off"/>
        <w:rPr>
          <w:rFonts w:hint="eastAsia" w:ascii="宋体" w:hAnsi="宋体" w:eastAsia="宋体" w:cs="宋体"/>
          <w:i w:val="0"/>
          <w:iCs w:val="0"/>
          <w:caps w:val="0"/>
          <w:color w:val="333333"/>
          <w:spacing w:val="0"/>
          <w:sz w:val="24"/>
          <w:szCs w:val="24"/>
          <w:highlight w:val="none"/>
          <w:shd w:val="clear" w:color="auto" w:fill="ffffff"/>
          <w:lang w:val="en-US" w:eastAsia="zh-CN"/>
        </w:rPr>
        <w:pBdr>
          <w:top w:val="none" w:color="auto" w:sz="0" w:space="0"/>
          <w:left w:val="none" w:color="auto" w:sz="0" w:space="0"/>
          <w:bottom w:val="none" w:color="auto" w:sz="0" w:space="0"/>
          <w:right w:val="none" w:color="auto" w:sz="0" w:space="0"/>
        </w:pBdr>
        <w:suppressLineNumbers w:val="0"/>
      </w:pPr>
      <w:r/>
      <w:bookmarkStart w:id="31" w:name="_Toc28359018"/>
      <w:r>
        <w:rPr>
          <w:rFonts w:hint="eastAsia" w:ascii="宋体" w:hAnsi="宋体" w:eastAsia="宋体" w:cs="宋体"/>
          <w:i w:val="0"/>
          <w:iCs w:val="0"/>
          <w:caps w:val="0"/>
          <w:color w:val="333333"/>
          <w:spacing w:val="0"/>
          <w:sz w:val="24"/>
          <w:szCs w:val="24"/>
          <w:highlight w:val="none"/>
          <w:shd w:val="clear" w:color="auto" w:fill="ffffff"/>
          <w:lang w:val="en-US" w:eastAsia="zh-CN"/>
        </w:rPr>
        <w:t xml:space="preserve">1.根据省财政厅《关于更换全省政府采购交易系统CA数字证书和电子签章的通知》（苏财购〔2023〕101号），“苏采云”政府采购交易系统（以下简称苏采云系统）的CA数字证书、电子签章已更换为江苏省电子政务证书认证中心CA和方正国际软件（北京）有限公司电子签章。如果投标人通过苏采云系统参与政府采购项目，需要更换CA数字证书和电子签章。具体办理指南和操作手册：在盐城市政府采购网点击【办事指南】-【供应商参与政府采购活动相关资料】。</w:t>
      </w:r>
      <w:r/>
    </w:p>
    <w:p>
      <w:pPr>
        <w:pStyle w:val="856"/>
        <w:ind w:left="0" w:right="0" w:firstLine="480"/>
        <w:jc w:val="both"/>
        <w:keepLines w:val="0"/>
        <w:keepNext w:val="0"/>
        <w:pageBreakBefore w:val="0"/>
        <w:spacing w:beforeAutospacing="0" w:afterAutospacing="0" w:line="430" w:lineRule="exact"/>
        <w:shd w:val="clear" w:color="auto" w:fill="ffffff"/>
        <w:widowControl w:val="off"/>
        <w:rPr>
          <w:rFonts w:hint="eastAsia" w:ascii="宋体" w:hAnsi="宋体" w:eastAsia="宋体" w:cs="宋体"/>
          <w:i w:val="0"/>
          <w:iCs w:val="0"/>
          <w:caps w:val="0"/>
          <w:color w:val="333333"/>
          <w:spacing w:val="0"/>
          <w:sz w:val="24"/>
          <w:szCs w:val="24"/>
          <w:highlight w:val="none"/>
          <w:shd w:val="clear" w:color="auto" w:fill="ffffff"/>
          <w:lang w:val="en-US" w:eastAsia="zh-CN"/>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333333"/>
          <w:spacing w:val="0"/>
          <w:sz w:val="24"/>
          <w:szCs w:val="24"/>
          <w:highlight w:val="none"/>
          <w:shd w:val="clear" w:color="auto" w:fill="ffffff"/>
          <w:lang w:val="en-US" w:eastAsia="zh-CN"/>
        </w:rPr>
        <w:t xml:space="preserve">领取CA和办理电子签章（请至亭湖区政务服务中心二楼226窗口办理，联系电话：15051556883，办理邮箱：yancheng@ideabank.net.cn，具体联系方式见《苏采云系统供应商操作手册》（以下简称《操作手册》））、进行注册并按《操作手册》要求制作、上传电子投标文件,《苏采云系统供应商操作手册》：在盐城市政府采购网点击【办事指南】-【供应商参与政府采购活动相关资料】。</w:t>
      </w:r>
      <w:r/>
    </w:p>
    <w:p>
      <w:pPr>
        <w:pStyle w:val="856"/>
        <w:ind w:left="0" w:right="0" w:firstLine="480"/>
        <w:jc w:val="both"/>
        <w:keepLines w:val="0"/>
        <w:keepNext w:val="0"/>
        <w:pageBreakBefore w:val="0"/>
        <w:spacing w:beforeAutospacing="0" w:afterAutospacing="0" w:line="430" w:lineRule="exact"/>
        <w:shd w:val="clear" w:color="auto" w:fill="ffffff"/>
        <w:widowControl w:val="off"/>
        <w:rPr>
          <w:rFonts w:hint="eastAsia" w:ascii="宋体" w:hAnsi="宋体" w:eastAsia="宋体" w:cs="宋体"/>
          <w:color w:val="000000"/>
          <w:sz w:val="24"/>
          <w:szCs w:val="24"/>
          <w:highlight w:val="none"/>
          <w:lang w:val="en-US" w:eastAsia="zh-CN"/>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color w:val="000000"/>
          <w:sz w:val="24"/>
          <w:szCs w:val="24"/>
          <w:highlight w:val="none"/>
          <w:lang w:val="en-US" w:eastAsia="zh-CN"/>
        </w:rPr>
        <w:t xml:space="preserve">2.潜在供应商访问电子招标响应交易平台的网络地址和方法： </w:t>
      </w:r>
      <w:r/>
    </w:p>
    <w:p>
      <w:pPr>
        <w:pStyle w:val="856"/>
        <w:ind w:left="0" w:right="0" w:firstLine="480"/>
        <w:jc w:val="both"/>
        <w:keepLines w:val="0"/>
        <w:keepNext w:val="0"/>
        <w:pageBreakBefore w:val="0"/>
        <w:spacing w:beforeAutospacing="0" w:afterAutospacing="0" w:line="430" w:lineRule="exact"/>
        <w:shd w:val="clear" w:color="auto" w:fill="ffffff"/>
        <w:widowControl w:val="off"/>
        <w:rPr>
          <w:rFonts w:hint="eastAsia" w:ascii="宋体" w:hAnsi="宋体" w:eastAsia="宋体" w:cs="宋体"/>
          <w:color w:val="000000"/>
          <w:sz w:val="24"/>
          <w:szCs w:val="24"/>
          <w:highlight w:val="none"/>
          <w:lang w:val="en-US" w:eastAsia="zh-CN"/>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color w:val="000000"/>
          <w:sz w:val="24"/>
          <w:szCs w:val="24"/>
          <w:highlight w:val="none"/>
          <w:lang w:val="en-US" w:eastAsia="zh-CN"/>
        </w:rPr>
        <w:t xml:space="preserve">2.1“苏采云”系统用户注册--获取“CA 数字证书”--CA 绑定与登录--参与投 标--下载采购文件（后缀名为“.kedt”）--将后缀名为“.kedt”的采购文件导入政府采购客户端工具--制作响应文件--导出加密的响应文件（后缀名为 zip）--通过“苏采云”系统上传响应文件。具体见《“苏采云”系统供应商操作手册》 （手册下载地址：苏采云系统-右侧消息通知栏）。 </w:t>
      </w:r>
      <w:r/>
    </w:p>
    <w:p>
      <w:pPr>
        <w:pStyle w:val="856"/>
        <w:ind w:left="0" w:right="0" w:firstLine="480"/>
        <w:jc w:val="both"/>
        <w:keepLines w:val="0"/>
        <w:keepNext w:val="0"/>
        <w:pageBreakBefore w:val="0"/>
        <w:spacing w:beforeAutospacing="0" w:afterAutospacing="0" w:line="430" w:lineRule="exact"/>
        <w:shd w:val="clear" w:color="auto" w:fill="ffffff"/>
        <w:widowControl w:val="off"/>
        <w:rPr>
          <w:rFonts w:hint="eastAsia" w:ascii="宋体" w:hAnsi="宋体" w:eastAsia="宋体" w:cs="宋体"/>
          <w:color w:val="000000"/>
          <w:sz w:val="24"/>
          <w:szCs w:val="24"/>
          <w:highlight w:val="none"/>
          <w:lang w:val="en-US" w:eastAsia="zh-CN"/>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color w:val="000000"/>
          <w:sz w:val="24"/>
          <w:szCs w:val="24"/>
          <w:highlight w:val="none"/>
          <w:lang w:val="en-US" w:eastAsia="zh-CN"/>
        </w:rPr>
        <w:t xml:space="preserve">2.2 潜在投标人访问“苏采云”系统方法：江苏省政府采购网首页-“苏采云”链接。 </w:t>
      </w:r>
      <w:r/>
    </w:p>
    <w:p>
      <w:pPr>
        <w:pStyle w:val="856"/>
        <w:ind w:left="0" w:right="0" w:firstLine="480"/>
        <w:jc w:val="both"/>
        <w:keepLines w:val="0"/>
        <w:keepNext w:val="0"/>
        <w:pageBreakBefore w:val="0"/>
        <w:spacing w:beforeAutospacing="0" w:afterAutospacing="0" w:line="430" w:lineRule="exact"/>
        <w:shd w:val="clear" w:color="auto" w:fill="ffffff"/>
        <w:widowControl w:val="off"/>
        <w:rPr>
          <w:rFonts w:hint="eastAsia" w:ascii="宋体" w:hAnsi="宋体" w:eastAsia="宋体" w:cs="宋体"/>
          <w:color w:val="000000"/>
          <w:sz w:val="24"/>
          <w:szCs w:val="24"/>
          <w:highlight w:val="none"/>
          <w:lang w:val="en-US" w:eastAsia="zh-CN"/>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color w:val="000000"/>
          <w:sz w:val="24"/>
          <w:szCs w:val="24"/>
          <w:highlight w:val="none"/>
          <w:lang w:val="en-US" w:eastAsia="zh-CN"/>
        </w:rPr>
        <w:t xml:space="preserve">2.3 采购文件（后缀名为“.kedt”）、供应商操作手册及政府采购客户端 工具可通过“苏采云”系统相应链接进行下载。 </w:t>
      </w:r>
      <w:r/>
    </w:p>
    <w:p>
      <w:pPr>
        <w:pStyle w:val="856"/>
        <w:ind w:left="0" w:right="0" w:firstLine="480"/>
        <w:jc w:val="both"/>
        <w:keepLines w:val="0"/>
        <w:keepNext w:val="0"/>
        <w:pageBreakBefore w:val="0"/>
        <w:spacing w:beforeAutospacing="0" w:afterAutospacing="0" w:line="430" w:lineRule="exact"/>
        <w:shd w:val="clear" w:color="auto" w:fill="ffffff"/>
        <w:widowControl w:val="off"/>
        <w:rPr>
          <w:rFonts w:hint="eastAsia" w:ascii="宋体" w:hAnsi="宋体" w:eastAsia="宋体" w:cs="宋体"/>
          <w:color w:val="000000"/>
          <w:sz w:val="24"/>
          <w:szCs w:val="24"/>
          <w:highlight w:val="none"/>
          <w:lang w:val="en-US" w:eastAsia="zh-CN"/>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color w:val="000000"/>
          <w:sz w:val="24"/>
          <w:szCs w:val="24"/>
          <w:highlight w:val="none"/>
          <w:lang w:val="en-US" w:eastAsia="zh-CN"/>
        </w:rPr>
        <w:t xml:space="preserve">2.4 采购代理机构将数据电文形式的采购文件加载至“苏采云”系统，供潜在供应商下载或者查阅。 </w:t>
      </w:r>
      <w:r/>
    </w:p>
    <w:p>
      <w:pPr>
        <w:pStyle w:val="856"/>
        <w:ind w:left="0" w:right="0" w:firstLine="480"/>
        <w:jc w:val="both"/>
        <w:keepLines w:val="0"/>
        <w:keepNext w:val="0"/>
        <w:pageBreakBefore w:val="0"/>
        <w:spacing w:beforeAutospacing="0" w:afterAutospacing="0" w:line="430" w:lineRule="exact"/>
        <w:shd w:val="clear" w:color="auto" w:fill="ffffff"/>
        <w:widowControl w:val="off"/>
        <w:rPr>
          <w:rFonts w:hint="eastAsia" w:ascii="宋体" w:hAnsi="宋体" w:eastAsia="宋体" w:cs="宋体"/>
          <w:color w:val="000000"/>
          <w:sz w:val="24"/>
          <w:szCs w:val="24"/>
          <w:highlight w:val="none"/>
          <w:lang w:val="en-US" w:eastAsia="zh-CN"/>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color w:val="000000"/>
          <w:sz w:val="24"/>
          <w:szCs w:val="24"/>
          <w:highlight w:val="none"/>
          <w:lang w:val="en-US" w:eastAsia="zh-CN"/>
        </w:rPr>
        <w:t xml:space="preserve">2.5 请潜在投标单位提前安装相应的控件（详见《“苏采云”系统供应商操作手册》）并使用谷歌浏览器登录“苏采云”系统参与不见面开评标。 </w:t>
      </w:r>
      <w:r/>
    </w:p>
    <w:p>
      <w:pPr>
        <w:ind w:firstLine="480"/>
        <w:jc w:val="left"/>
        <w:keepLines w:val="0"/>
        <w:keepNext w:val="0"/>
        <w:pageBreakBefore w:val="0"/>
        <w:spacing w:beforeAutospacing="0" w:afterAutospacing="0" w:line="430" w:lineRule="exact"/>
        <w:widowControl w:val="off"/>
        <w:rPr>
          <w:rFonts w:hint="eastAsia" w:ascii="宋体" w:hAnsi="宋体" w:eastAsia="宋体" w:cs="宋体"/>
          <w:i w:val="0"/>
          <w:iCs w:val="0"/>
          <w:caps w:val="0"/>
          <w:color w:val="333333"/>
          <w:spacing w:val="0"/>
          <w:sz w:val="24"/>
          <w:szCs w:val="24"/>
          <w:highlight w:val="none"/>
          <w:shd w:val="clear" w:color="auto" w:fill="ffffff"/>
          <w:lang w:val="en-US" w:eastAsia="zh-CN"/>
        </w:rPr>
        <w:suppressLineNumbers w:val="0"/>
      </w:pPr>
      <w:r>
        <w:rPr>
          <w:rFonts w:hint="eastAsia" w:ascii="宋体" w:hAnsi="宋体" w:eastAsia="宋体" w:cs="宋体"/>
          <w:color w:val="000000"/>
          <w:sz w:val="24"/>
          <w:szCs w:val="24"/>
          <w:highlight w:val="none"/>
          <w:lang w:val="en-US" w:eastAsia="zh-CN" w:bidi="ar-SA"/>
        </w:rPr>
        <w:t xml:space="preserve">如潜在投标人未按上述要求操作，将自行承担所产生的风险。</w:t>
      </w:r>
      <w:r/>
    </w:p>
    <w:p>
      <w:pPr>
        <w:pStyle w:val="856"/>
        <w:ind w:left="0" w:right="0" w:firstLine="480"/>
        <w:jc w:val="both"/>
        <w:keepLines w:val="0"/>
        <w:keepNext w:val="0"/>
        <w:pageBreakBefore w:val="0"/>
        <w:spacing w:beforeAutospacing="0" w:afterAutospacing="0" w:line="430" w:lineRule="exact"/>
        <w:shd w:val="clear" w:color="auto" w:fill="ffffff"/>
        <w:widowControl w:val="off"/>
        <w:rPr>
          <w:rFonts w:hint="eastAsia" w:ascii="宋体" w:hAnsi="宋体" w:eastAsia="宋体" w:cs="宋体"/>
          <w:i w:val="0"/>
          <w:iCs w:val="0"/>
          <w:caps w:val="0"/>
          <w:color w:val="333333"/>
          <w:spacing w:val="0"/>
          <w:sz w:val="24"/>
          <w:szCs w:val="24"/>
          <w:highlight w:val="none"/>
          <w:shd w:val="clear" w:color="auto" w:fill="ffffff"/>
          <w:lang w:val="en-US" w:eastAsia="zh-CN"/>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333333"/>
          <w:spacing w:val="0"/>
          <w:sz w:val="24"/>
          <w:szCs w:val="24"/>
          <w:highlight w:val="none"/>
          <w:shd w:val="clear" w:color="auto" w:fill="ffffff"/>
          <w:lang w:val="en-US" w:eastAsia="zh-CN"/>
        </w:rPr>
        <w:t xml:space="preserve">3.有关本次招标的事项若存在变动或修改，敬请及时关注在“</w:t>
      </w:r>
      <w:r>
        <w:rPr>
          <w:rFonts w:hint="eastAsia" w:ascii="宋体" w:hAnsi="宋体" w:eastAsia="宋体" w:cs="宋体"/>
          <w:color w:val="000000"/>
          <w:sz w:val="24"/>
          <w:szCs w:val="24"/>
          <w:highlight w:val="none"/>
          <w:lang w:val="en-US" w:eastAsia="zh-CN" w:bidi="ar-SA"/>
        </w:rPr>
        <w:t xml:space="preserve">中国政府采购网</w:t>
      </w:r>
      <w:r>
        <w:rPr>
          <w:rFonts w:hint="eastAsia" w:ascii="宋体" w:hAnsi="宋体" w:eastAsia="宋体" w:cs="宋体"/>
          <w:i w:val="0"/>
          <w:iCs w:val="0"/>
          <w:caps w:val="0"/>
          <w:color w:val="333333"/>
          <w:spacing w:val="0"/>
          <w:sz w:val="24"/>
          <w:szCs w:val="24"/>
          <w:highlight w:val="none"/>
          <w:shd w:val="clear" w:color="auto" w:fill="ffffff"/>
          <w:lang w:val="en-US" w:eastAsia="zh-CN"/>
        </w:rPr>
        <w:t xml:space="preserve">”、“江苏政府采购网”、“盐城市政府采购网”发布的更正公告。</w:t>
      </w:r>
      <w:r/>
    </w:p>
    <w:p>
      <w:pPr>
        <w:pStyle w:val="856"/>
        <w:ind w:left="0" w:right="0" w:firstLine="480"/>
        <w:jc w:val="both"/>
        <w:keepLines w:val="0"/>
        <w:keepNext w:val="0"/>
        <w:pageBreakBefore w:val="0"/>
        <w:spacing w:beforeAutospacing="0" w:afterAutospacing="0" w:line="430" w:lineRule="exact"/>
        <w:shd w:val="clear" w:color="auto" w:fill="ffffff"/>
        <w:widowControl w:val="off"/>
        <w:rPr>
          <w:rFonts w:hint="eastAsia" w:ascii="宋体" w:hAnsi="宋体" w:eastAsia="宋体" w:cs="宋体"/>
          <w:i w:val="0"/>
          <w:iCs w:val="0"/>
          <w:caps w:val="0"/>
          <w:color w:val="333333"/>
          <w:spacing w:val="0"/>
          <w:sz w:val="24"/>
          <w:szCs w:val="24"/>
          <w:highlight w:val="none"/>
          <w:shd w:val="clear" w:color="auto" w:fill="ffffff"/>
          <w:lang w:val="en-US" w:eastAsia="zh-CN"/>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333333"/>
          <w:spacing w:val="0"/>
          <w:sz w:val="24"/>
          <w:szCs w:val="24"/>
          <w:highlight w:val="none"/>
          <w:shd w:val="clear" w:color="auto" w:fill="ffffff"/>
          <w:lang w:val="en-US" w:eastAsia="zh-CN"/>
        </w:rPr>
        <w:t xml:space="preserve">4.本次招标不收取投标保证金，不收取质量保证金。</w:t>
      </w:r>
      <w:r/>
    </w:p>
    <w:p>
      <w:pPr>
        <w:pStyle w:val="846"/>
        <w:ind w:left="0" w:right="0" w:firstLine="482"/>
        <w:jc w:val="both"/>
        <w:keepLines w:val="0"/>
        <w:keepNext w:val="0"/>
        <w:pageBreakBefore w:val="0"/>
        <w:spacing w:before="0" w:beforeAutospacing="0" w:after="0" w:afterAutospacing="0" w:line="430" w:lineRule="exact"/>
        <w:shd w:val="clear" w:color="auto" w:fill="ffffff"/>
        <w:widowControl w:val="off"/>
        <w:rPr>
          <w:rFonts w:hint="eastAsia" w:ascii="宋体" w:hAnsi="宋体" w:eastAsia="宋体" w:cs="宋体"/>
          <w:b/>
          <w:bCs/>
          <w:i w:val="0"/>
          <w:iCs w:val="0"/>
          <w:caps w:val="0"/>
          <w:color w:val="auto"/>
          <w:spacing w:val="0"/>
          <w:sz w:val="24"/>
          <w:szCs w:val="24"/>
          <w:highlight w:val="none"/>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b/>
          <w:bCs/>
          <w:i w:val="0"/>
          <w:iCs w:val="0"/>
          <w:caps w:val="0"/>
          <w:color w:val="auto"/>
          <w:spacing w:val="0"/>
          <w:sz w:val="24"/>
          <w:szCs w:val="24"/>
          <w:highlight w:val="none"/>
          <w:u w:val="none"/>
          <w:shd w:val="clear" w:color="auto" w:fill="ffffff"/>
          <w:lang w:val="en-US" w:eastAsia="zh-CN"/>
        </w:rPr>
        <w:t xml:space="preserve">七</w:t>
      </w:r>
      <w:r>
        <w:rPr>
          <w:rFonts w:hint="eastAsia" w:ascii="宋体" w:hAnsi="宋体" w:eastAsia="宋体" w:cs="宋体"/>
          <w:b/>
          <w:bCs/>
          <w:i w:val="0"/>
          <w:iCs w:val="0"/>
          <w:caps w:val="0"/>
          <w:color w:val="auto"/>
          <w:spacing w:val="0"/>
          <w:sz w:val="24"/>
          <w:szCs w:val="24"/>
          <w:highlight w:val="none"/>
          <w:u w:val="none"/>
          <w:shd w:val="clear" w:color="auto" w:fill="ffffff"/>
        </w:rPr>
        <w:t xml:space="preserve">、对本次</w:t>
      </w:r>
      <w:r>
        <w:rPr>
          <w:rFonts w:hint="eastAsia" w:ascii="宋体" w:hAnsi="宋体" w:eastAsia="宋体" w:cs="宋体"/>
          <w:b/>
          <w:bCs/>
          <w:i w:val="0"/>
          <w:iCs w:val="0"/>
          <w:caps w:val="0"/>
          <w:color w:val="auto"/>
          <w:spacing w:val="0"/>
          <w:sz w:val="24"/>
          <w:szCs w:val="24"/>
          <w:highlight w:val="none"/>
          <w:u w:val="none"/>
          <w:shd w:val="clear" w:color="auto" w:fill="ffffff"/>
          <w:lang w:val="en-US" w:eastAsia="zh-CN"/>
        </w:rPr>
        <w:t xml:space="preserve">招标</w:t>
      </w:r>
      <w:r>
        <w:rPr>
          <w:rFonts w:hint="eastAsia" w:ascii="宋体" w:hAnsi="宋体" w:eastAsia="宋体" w:cs="宋体"/>
          <w:b/>
          <w:bCs/>
          <w:i w:val="0"/>
          <w:iCs w:val="0"/>
          <w:caps w:val="0"/>
          <w:color w:val="auto"/>
          <w:spacing w:val="0"/>
          <w:sz w:val="24"/>
          <w:szCs w:val="24"/>
          <w:highlight w:val="none"/>
          <w:u w:val="none"/>
          <w:shd w:val="clear" w:color="auto" w:fill="ffffff"/>
        </w:rPr>
        <w:t xml:space="preserve">提出询问，请按以下方式联系。</w:t>
      </w:r>
      <w:bookmarkEnd w:id="31"/>
      <w:r/>
      <w:r/>
    </w:p>
    <w:p>
      <w:pPr>
        <w:pStyle w:val="856"/>
        <w:ind w:right="0" w:firstLine="480"/>
        <w:jc w:val="both"/>
        <w:keepLines w:val="0"/>
        <w:keepNext w:val="0"/>
        <w:pageBreakBefore w:val="0"/>
        <w:spacing w:beforeAutospacing="0" w:afterAutospacing="0" w:line="430" w:lineRule="exact"/>
        <w:shd w:val="clear" w:color="auto" w:fill="ffffff"/>
        <w:widowControl w:val="off"/>
        <w:rPr>
          <w:rFonts w:hint="eastAsia" w:ascii="宋体" w:hAnsi="宋体" w:eastAsia="宋体" w:cs="宋体"/>
          <w:i w:val="0"/>
          <w:iCs w:val="0"/>
          <w:caps w:val="0"/>
          <w:color w:val="auto"/>
          <w:spacing w:val="0"/>
          <w:sz w:val="24"/>
          <w:szCs w:val="24"/>
          <w:highlight w:val="none"/>
          <w:shd w:val="clear" w:color="auto" w:fill="ffffff"/>
          <w:lang w:val="en-US" w:eastAsia="zh-CN"/>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auto"/>
          <w:spacing w:val="0"/>
          <w:sz w:val="24"/>
          <w:szCs w:val="24"/>
          <w:highlight w:val="none"/>
          <w:shd w:val="clear" w:color="auto" w:fill="ffffff"/>
          <w:lang w:val="en-US" w:eastAsia="zh-CN"/>
        </w:rPr>
        <w:t xml:space="preserve">1.采购人信息</w:t>
      </w:r>
      <w:r/>
    </w:p>
    <w:p>
      <w:pPr>
        <w:pStyle w:val="856"/>
        <w:ind w:left="0" w:right="0" w:firstLine="480"/>
        <w:jc w:val="both"/>
        <w:keepLines w:val="0"/>
        <w:keepNext w:val="0"/>
        <w:pageBreakBefore w:val="0"/>
        <w:spacing w:beforeAutospacing="0" w:afterAutospacing="0" w:line="430" w:lineRule="exact"/>
        <w:shd w:val="clear" w:color="auto" w:fill="ffffff"/>
        <w:widowControl w:val="off"/>
        <w:rPr>
          <w:rFonts w:hint="eastAsia" w:ascii="宋体" w:hAnsi="宋体" w:eastAsia="宋体" w:cs="宋体"/>
          <w:i w:val="0"/>
          <w:iCs w:val="0"/>
          <w:caps w:val="0"/>
          <w:color w:val="auto"/>
          <w:spacing w:val="0"/>
          <w:sz w:val="24"/>
          <w:szCs w:val="24"/>
          <w:highlight w:val="none"/>
          <w:shd w:val="clear" w:color="auto" w:fill="ffffff"/>
          <w:lang w:val="en-US" w:eastAsia="zh-CN"/>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auto"/>
          <w:spacing w:val="0"/>
          <w:sz w:val="24"/>
          <w:szCs w:val="24"/>
          <w:highlight w:val="none"/>
          <w:shd w:val="clear" w:color="auto" w:fill="ffffff"/>
          <w:lang w:val="en-US" w:eastAsia="zh-CN"/>
        </w:rPr>
        <w:t xml:space="preserve">名  称：</w:t>
      </w:r>
      <w:r>
        <w:rPr>
          <w:rFonts w:hint="eastAsia"/>
          <w:color w:val="auto"/>
          <w:shd w:val="clear" w:color="auto" w:fill="ffffff"/>
          <w:lang w:eastAsia="zh-CN"/>
        </w:rPr>
        <w:t xml:space="preserve">射阳县发展和改革委员会</w:t>
      </w:r>
      <w:r>
        <w:rPr>
          <w:rFonts w:hint="eastAsia" w:ascii="宋体" w:hAnsi="宋体" w:eastAsia="宋体" w:cs="宋体"/>
          <w:i w:val="0"/>
          <w:iCs w:val="0"/>
          <w:caps w:val="0"/>
          <w:color w:val="auto"/>
          <w:spacing w:val="0"/>
          <w:sz w:val="24"/>
          <w:szCs w:val="24"/>
          <w:highlight w:val="none"/>
          <w:shd w:val="clear" w:color="auto" w:fill="ffffff"/>
          <w:lang w:val="en-US" w:eastAsia="zh-CN"/>
        </w:rPr>
        <w:t xml:space="preserve"> </w:t>
      </w:r>
      <w:r/>
    </w:p>
    <w:p>
      <w:pPr>
        <w:pStyle w:val="856"/>
        <w:ind w:left="0" w:right="0" w:firstLine="480"/>
        <w:jc w:val="both"/>
        <w:keepLines w:val="0"/>
        <w:keepNext w:val="0"/>
        <w:pageBreakBefore w:val="0"/>
        <w:spacing w:beforeAutospacing="0" w:afterAutospacing="0" w:line="430" w:lineRule="exact"/>
        <w:shd w:val="clear" w:color="auto" w:fill="ffffff"/>
        <w:widowControl w:val="off"/>
        <w:rPr>
          <w:rFonts w:hint="eastAsia" w:ascii="宋体" w:hAnsi="宋体" w:eastAsia="宋体" w:cs="宋体"/>
          <w:i w:val="0"/>
          <w:iCs w:val="0"/>
          <w:caps w:val="0"/>
          <w:color w:val="auto"/>
          <w:spacing w:val="0"/>
          <w:sz w:val="24"/>
          <w:szCs w:val="24"/>
          <w:highlight w:val="none"/>
          <w:shd w:val="clear" w:color="auto" w:fill="ffffff"/>
          <w:lang w:val="en-US" w:eastAsia="zh-CN"/>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auto"/>
          <w:spacing w:val="0"/>
          <w:sz w:val="24"/>
          <w:szCs w:val="24"/>
          <w:highlight w:val="none"/>
          <w:shd w:val="clear" w:color="auto" w:fill="ffffff"/>
          <w:lang w:val="en-US" w:eastAsia="zh-CN"/>
        </w:rPr>
        <w:t xml:space="preserve">地  址：射阳县双山科技商务中心4楼</w:t>
      </w:r>
      <w:r/>
    </w:p>
    <w:p>
      <w:pPr>
        <w:pStyle w:val="856"/>
        <w:ind w:left="0" w:right="0" w:firstLine="480"/>
        <w:jc w:val="both"/>
        <w:keepLines w:val="0"/>
        <w:keepNext w:val="0"/>
        <w:pageBreakBefore w:val="0"/>
        <w:spacing w:beforeAutospacing="0" w:afterAutospacing="0" w:line="430" w:lineRule="exact"/>
        <w:shd w:val="clear" w:color="auto" w:fill="ffffff"/>
        <w:widowControl w:val="off"/>
        <w:rPr>
          <w:rFonts w:hint="eastAsia" w:ascii="宋体" w:hAnsi="宋体" w:eastAsia="宋体" w:cs="宋体"/>
          <w:i w:val="0"/>
          <w:iCs w:val="0"/>
          <w:caps w:val="0"/>
          <w:color w:val="auto"/>
          <w:spacing w:val="0"/>
          <w:sz w:val="24"/>
          <w:szCs w:val="24"/>
          <w:highlight w:val="none"/>
          <w:shd w:val="clear" w:color="auto" w:fill="ffffff"/>
          <w:lang w:val="en-US" w:eastAsia="zh-CN"/>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auto"/>
          <w:spacing w:val="0"/>
          <w:sz w:val="24"/>
          <w:szCs w:val="24"/>
          <w:highlight w:val="none"/>
          <w:shd w:val="clear" w:color="auto" w:fill="ffffff"/>
          <w:lang w:val="en-US" w:eastAsia="zh-CN"/>
        </w:rPr>
        <w:t xml:space="preserve">联系人：倪庆成</w:t>
      </w:r>
      <w:r/>
    </w:p>
    <w:p>
      <w:pPr>
        <w:pStyle w:val="856"/>
        <w:ind w:left="0" w:right="0" w:firstLine="480"/>
        <w:jc w:val="both"/>
        <w:keepLines w:val="0"/>
        <w:keepNext w:val="0"/>
        <w:pageBreakBefore w:val="0"/>
        <w:spacing w:beforeAutospacing="0" w:afterAutospacing="0" w:line="430" w:lineRule="exact"/>
        <w:shd w:val="clear" w:color="auto" w:fill="ffffff"/>
        <w:widowControl w:val="off"/>
        <w:rPr>
          <w:rFonts w:hint="eastAsia" w:ascii="宋体" w:hAnsi="宋体" w:eastAsia="宋体" w:cs="宋体"/>
          <w:i w:val="0"/>
          <w:iCs w:val="0"/>
          <w:caps w:val="0"/>
          <w:color w:val="auto"/>
          <w:spacing w:val="0"/>
          <w:sz w:val="24"/>
          <w:szCs w:val="24"/>
          <w:highlight w:val="none"/>
          <w:shd w:val="clear" w:color="auto" w:fill="ffffff"/>
          <w:lang w:val="en-US" w:eastAsia="zh-CN"/>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auto"/>
          <w:spacing w:val="0"/>
          <w:sz w:val="24"/>
          <w:szCs w:val="24"/>
          <w:highlight w:val="none"/>
          <w:shd w:val="clear" w:color="auto" w:fill="ffffff"/>
          <w:lang w:val="en-US" w:eastAsia="zh-CN"/>
        </w:rPr>
        <w:t xml:space="preserve">联系方式：13851150088            </w:t>
      </w:r>
      <w:r/>
    </w:p>
    <w:p>
      <w:pPr>
        <w:pStyle w:val="856"/>
        <w:ind w:left="0" w:right="0" w:firstLine="480"/>
        <w:jc w:val="both"/>
        <w:keepLines w:val="0"/>
        <w:keepNext w:val="0"/>
        <w:pageBreakBefore w:val="0"/>
        <w:spacing w:beforeAutospacing="0" w:afterAutospacing="0" w:line="430" w:lineRule="exact"/>
        <w:shd w:val="clear" w:color="auto" w:fill="ffffff"/>
        <w:widowControl w:val="off"/>
        <w:rPr>
          <w:rFonts w:hint="eastAsia" w:ascii="宋体" w:hAnsi="宋体" w:eastAsia="宋体" w:cs="宋体"/>
          <w:i w:val="0"/>
          <w:iCs w:val="0"/>
          <w:caps w:val="0"/>
          <w:color w:val="auto"/>
          <w:spacing w:val="0"/>
          <w:sz w:val="24"/>
          <w:szCs w:val="24"/>
          <w:highlight w:val="none"/>
          <w:shd w:val="clear" w:color="auto" w:fill="ffffff"/>
          <w:lang w:val="en-US" w:eastAsia="zh-CN"/>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auto"/>
          <w:spacing w:val="0"/>
          <w:sz w:val="24"/>
          <w:szCs w:val="24"/>
          <w:highlight w:val="none"/>
          <w:shd w:val="clear" w:color="auto" w:fill="ffffff"/>
          <w:lang w:val="en-US" w:eastAsia="zh-CN"/>
        </w:rPr>
        <w:t xml:space="preserve">2.采购代理机构信息</w:t>
      </w:r>
      <w:r/>
    </w:p>
    <w:p>
      <w:pPr>
        <w:pStyle w:val="856"/>
        <w:ind w:left="0" w:right="0" w:firstLine="480"/>
        <w:jc w:val="both"/>
        <w:keepLines w:val="0"/>
        <w:keepNext w:val="0"/>
        <w:pageBreakBefore w:val="0"/>
        <w:spacing w:beforeAutospacing="0" w:afterAutospacing="0" w:line="430" w:lineRule="exact"/>
        <w:shd w:val="clear" w:color="auto" w:fill="ffffff"/>
        <w:widowControl w:val="off"/>
        <w:rPr>
          <w:rFonts w:hint="eastAsia" w:ascii="宋体" w:hAnsi="宋体" w:eastAsia="宋体" w:cs="宋体"/>
          <w:i w:val="0"/>
          <w:iCs w:val="0"/>
          <w:caps w:val="0"/>
          <w:color w:val="auto"/>
          <w:spacing w:val="0"/>
          <w:sz w:val="24"/>
          <w:szCs w:val="24"/>
          <w:highlight w:val="none"/>
          <w:shd w:val="clear" w:color="auto" w:fill="ffffff"/>
          <w:lang w:val="en-US" w:eastAsia="zh-CN"/>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auto"/>
          <w:spacing w:val="0"/>
          <w:sz w:val="24"/>
          <w:szCs w:val="24"/>
          <w:highlight w:val="none"/>
          <w:shd w:val="clear" w:color="auto" w:fill="ffffff"/>
          <w:lang w:val="en-US" w:eastAsia="zh-CN"/>
        </w:rPr>
        <w:t xml:space="preserve">名  称：</w:t>
      </w:r>
      <w:r>
        <w:rPr>
          <w:rFonts w:hint="eastAsia"/>
          <w:color w:val="auto"/>
        </w:rPr>
        <w:t xml:space="preserve">江苏宏天工程管理有限公司</w:t>
      </w:r>
      <w:r/>
    </w:p>
    <w:p>
      <w:pPr>
        <w:pStyle w:val="856"/>
        <w:ind w:left="0" w:right="0" w:firstLine="480"/>
        <w:jc w:val="both"/>
        <w:keepLines w:val="0"/>
        <w:keepNext w:val="0"/>
        <w:pageBreakBefore w:val="0"/>
        <w:spacing w:beforeAutospacing="0" w:afterAutospacing="0" w:line="430" w:lineRule="exact"/>
        <w:shd w:val="clear" w:color="auto" w:fill="ffffff"/>
        <w:widowControl w:val="off"/>
        <w:rPr>
          <w:rFonts w:hint="eastAsia" w:ascii="宋体" w:hAnsi="宋体" w:eastAsia="宋体" w:cs="宋体"/>
          <w:i w:val="0"/>
          <w:iCs w:val="0"/>
          <w:caps w:val="0"/>
          <w:color w:val="auto"/>
          <w:spacing w:val="0"/>
          <w:sz w:val="24"/>
          <w:szCs w:val="24"/>
          <w:highlight w:val="none"/>
          <w:shd w:val="clear" w:color="auto" w:fill="ffffff"/>
          <w:lang w:val="en-US" w:eastAsia="zh-CN"/>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auto"/>
          <w:spacing w:val="0"/>
          <w:sz w:val="24"/>
          <w:szCs w:val="24"/>
          <w:highlight w:val="none"/>
          <w:shd w:val="clear" w:color="auto" w:fill="ffffff"/>
          <w:lang w:val="en-US" w:eastAsia="zh-CN"/>
        </w:rPr>
        <w:t xml:space="preserve">地  址：</w:t>
      </w:r>
      <w:r>
        <w:rPr>
          <w:rFonts w:hint="eastAsia" w:ascii="宋体" w:hAnsi="宋体" w:eastAsia="宋体" w:cs="宋体"/>
          <w:color w:val="auto"/>
          <w:shd w:val="clear" w:color="auto" w:fill="ffffff"/>
        </w:rPr>
        <w:t xml:space="preserve">射阳县双山新萃园17号楼103</w:t>
      </w:r>
      <w:r/>
    </w:p>
    <w:p>
      <w:pPr>
        <w:pStyle w:val="856"/>
        <w:ind w:left="0" w:right="0" w:firstLine="480"/>
        <w:jc w:val="both"/>
        <w:keepLines w:val="0"/>
        <w:keepNext w:val="0"/>
        <w:pageBreakBefore w:val="0"/>
        <w:spacing w:beforeAutospacing="0" w:afterAutospacing="0" w:line="430" w:lineRule="exact"/>
        <w:shd w:val="clear" w:color="auto" w:fill="ffffff"/>
        <w:widowControl w:val="off"/>
        <w:rPr>
          <w:rFonts w:hint="eastAsia" w:ascii="宋体" w:hAnsi="宋体" w:eastAsia="宋体" w:cs="宋体"/>
          <w:i w:val="0"/>
          <w:iCs w:val="0"/>
          <w:caps w:val="0"/>
          <w:color w:val="auto"/>
          <w:spacing w:val="0"/>
          <w:sz w:val="24"/>
          <w:szCs w:val="24"/>
          <w:highlight w:val="none"/>
          <w:shd w:val="clear" w:color="auto" w:fill="ffffff"/>
          <w:lang w:val="en-US" w:eastAsia="zh-CN"/>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auto"/>
          <w:spacing w:val="0"/>
          <w:sz w:val="24"/>
          <w:szCs w:val="24"/>
          <w:highlight w:val="none"/>
          <w:shd w:val="clear" w:color="auto" w:fill="ffffff"/>
          <w:lang w:val="en-US" w:eastAsia="zh-CN"/>
        </w:rPr>
        <w:t xml:space="preserve">联系人：王飞                     </w:t>
      </w:r>
      <w:r/>
    </w:p>
    <w:p>
      <w:pPr>
        <w:pStyle w:val="856"/>
        <w:ind w:left="0" w:right="0" w:firstLine="480"/>
        <w:jc w:val="both"/>
        <w:keepLines w:val="0"/>
        <w:keepNext w:val="0"/>
        <w:pageBreakBefore w:val="0"/>
        <w:spacing w:beforeAutospacing="0" w:afterAutospacing="0" w:line="430" w:lineRule="exact"/>
        <w:shd w:val="clear" w:color="auto" w:fill="ffffff"/>
        <w:widowControl w:val="off"/>
        <w:rPr>
          <w:rFonts w:hint="eastAsia" w:ascii="宋体" w:hAnsi="宋体" w:eastAsia="宋体" w:cs="宋体"/>
          <w:i w:val="0"/>
          <w:iCs w:val="0"/>
          <w:caps w:val="0"/>
          <w:color w:val="auto"/>
          <w:spacing w:val="0"/>
          <w:sz w:val="24"/>
          <w:szCs w:val="24"/>
          <w:highlight w:val="none"/>
          <w:shd w:val="clear" w:color="auto" w:fill="ffffff"/>
          <w:lang w:val="en-US" w:eastAsia="zh-CN"/>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auto"/>
          <w:spacing w:val="0"/>
          <w:sz w:val="24"/>
          <w:szCs w:val="24"/>
          <w:highlight w:val="none"/>
          <w:shd w:val="clear" w:color="auto" w:fill="ffffff"/>
          <w:lang w:val="en-US" w:eastAsia="zh-CN"/>
        </w:rPr>
        <w:t xml:space="preserve">联系方式：</w:t>
      </w:r>
      <w:bookmarkStart w:id="32" w:name="_Toc28359010"/>
      <w:r/>
      <w:bookmarkStart w:id="33" w:name="_Toc28359087"/>
      <w:r>
        <w:rPr>
          <w:rFonts w:hint="eastAsia" w:ascii="宋体" w:hAnsi="宋体" w:eastAsia="宋体" w:cs="宋体"/>
          <w:color w:val="auto"/>
        </w:rPr>
        <w:t xml:space="preserve">13905115258</w:t>
      </w:r>
      <w:r>
        <w:rPr>
          <w:rFonts w:hint="eastAsia" w:ascii="宋体" w:hAnsi="宋体" w:eastAsia="宋体" w:cs="宋体"/>
          <w:i w:val="0"/>
          <w:iCs w:val="0"/>
          <w:caps w:val="0"/>
          <w:color w:val="auto"/>
          <w:spacing w:val="0"/>
          <w:sz w:val="24"/>
          <w:szCs w:val="24"/>
          <w:highlight w:val="none"/>
          <w:shd w:val="clear" w:color="auto" w:fill="ffffff"/>
          <w:lang w:val="en-US" w:eastAsia="zh-CN"/>
        </w:rPr>
        <w:t xml:space="preserve">       </w:t>
      </w:r>
      <w:bookmarkEnd w:id="32"/>
      <w:r/>
      <w:bookmarkEnd w:id="33"/>
      <w:r>
        <w:rPr>
          <w:rFonts w:hint="eastAsia" w:ascii="宋体" w:hAnsi="宋体" w:eastAsia="宋体" w:cs="宋体"/>
          <w:i w:val="0"/>
          <w:iCs w:val="0"/>
          <w:caps w:val="0"/>
          <w:color w:val="auto"/>
          <w:spacing w:val="0"/>
          <w:sz w:val="24"/>
          <w:szCs w:val="24"/>
          <w:highlight w:val="none"/>
          <w:shd w:val="clear" w:color="auto" w:fill="ffffff"/>
          <w:lang w:val="en-US" w:eastAsia="zh-CN"/>
        </w:rPr>
        <w:t xml:space="preserve">            </w:t>
      </w:r>
      <w:r/>
    </w:p>
    <w:p>
      <w:pPr>
        <w:pStyle w:val="856"/>
        <w:ind w:left="0" w:right="0" w:firstLine="480"/>
        <w:jc w:val="both"/>
        <w:keepLines w:val="0"/>
        <w:keepNext w:val="0"/>
        <w:pageBreakBefore w:val="0"/>
        <w:spacing w:beforeAutospacing="0" w:afterAutospacing="0" w:line="430" w:lineRule="exact"/>
        <w:shd w:val="clear" w:color="auto" w:fill="ffffff"/>
        <w:widowControl w:val="off"/>
        <w:rPr>
          <w:rFonts w:hint="eastAsia" w:ascii="宋体" w:hAnsi="宋体" w:eastAsia="宋体" w:cs="宋体"/>
          <w:i w:val="0"/>
          <w:iCs w:val="0"/>
          <w:caps w:val="0"/>
          <w:color w:val="auto"/>
          <w:spacing w:val="0"/>
          <w:sz w:val="24"/>
          <w:szCs w:val="24"/>
          <w:highlight w:val="none"/>
          <w:shd w:val="clear" w:color="auto" w:fill="ffffff"/>
          <w:lang w:val="en-US" w:eastAsia="zh-CN"/>
        </w:rPr>
        <w:pBdr>
          <w:top w:val="none" w:color="auto" w:sz="0" w:space="0"/>
          <w:left w:val="none" w:color="auto" w:sz="0" w:space="0"/>
          <w:bottom w:val="none" w:color="auto" w:sz="0" w:space="0"/>
          <w:right w:val="none" w:color="auto" w:sz="0" w:space="0"/>
        </w:pBdr>
        <w:suppressLineNumbers w:val="0"/>
      </w:pPr>
      <w:r/>
      <w:bookmarkStart w:id="34" w:name="_Toc28359021"/>
      <w:r>
        <w:rPr>
          <w:rFonts w:hint="eastAsia" w:ascii="宋体" w:hAnsi="宋体" w:eastAsia="宋体" w:cs="宋体"/>
          <w:i w:val="0"/>
          <w:iCs w:val="0"/>
          <w:caps w:val="0"/>
          <w:color w:val="auto"/>
          <w:spacing w:val="0"/>
          <w:sz w:val="24"/>
          <w:szCs w:val="24"/>
          <w:highlight w:val="none"/>
          <w:shd w:val="clear" w:color="auto" w:fill="ffffff"/>
          <w:lang w:val="en-US" w:eastAsia="zh-CN"/>
        </w:rPr>
        <w:t xml:space="preserve">3.</w:t>
      </w:r>
      <w:bookmarkEnd w:id="34"/>
      <w:r>
        <w:rPr>
          <w:rFonts w:hint="eastAsia" w:ascii="宋体" w:hAnsi="宋体" w:eastAsia="宋体" w:cs="宋体"/>
          <w:i w:val="0"/>
          <w:iCs w:val="0"/>
          <w:caps w:val="0"/>
          <w:color w:val="auto"/>
          <w:spacing w:val="0"/>
          <w:sz w:val="24"/>
          <w:szCs w:val="24"/>
          <w:highlight w:val="none"/>
          <w:shd w:val="clear" w:color="auto" w:fill="ffffff"/>
          <w:lang w:val="en-US" w:eastAsia="zh-CN"/>
        </w:rPr>
        <w:t xml:space="preserve">项目联系方式</w:t>
      </w:r>
      <w:r/>
    </w:p>
    <w:p>
      <w:pPr>
        <w:pStyle w:val="856"/>
        <w:ind w:left="0" w:right="0" w:firstLine="480"/>
        <w:jc w:val="both"/>
        <w:keepLines w:val="0"/>
        <w:keepNext w:val="0"/>
        <w:pageBreakBefore w:val="0"/>
        <w:spacing w:beforeAutospacing="0" w:afterAutospacing="0" w:line="430" w:lineRule="exact"/>
        <w:shd w:val="clear" w:color="auto" w:fill="ffffff"/>
        <w:widowControl w:val="off"/>
        <w:rPr>
          <w:rFonts w:hint="eastAsia" w:ascii="宋体" w:hAnsi="宋体" w:eastAsia="宋体" w:cs="宋体"/>
          <w:i w:val="0"/>
          <w:iCs w:val="0"/>
          <w:caps w:val="0"/>
          <w:color w:val="auto"/>
          <w:spacing w:val="0"/>
          <w:sz w:val="24"/>
          <w:szCs w:val="24"/>
          <w:highlight w:val="none"/>
          <w:shd w:val="clear" w:color="auto" w:fill="ffffff"/>
          <w:lang w:val="en-US" w:eastAsia="zh-CN"/>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auto"/>
          <w:spacing w:val="0"/>
          <w:sz w:val="24"/>
          <w:szCs w:val="24"/>
          <w:highlight w:val="none"/>
          <w:shd w:val="clear" w:color="auto" w:fill="ffffff"/>
          <w:lang w:val="en-US" w:eastAsia="zh-CN"/>
        </w:rPr>
        <w:t xml:space="preserve">项目联系人：王飞</w:t>
      </w:r>
      <w:r/>
    </w:p>
    <w:p>
      <w:pPr>
        <w:pStyle w:val="856"/>
        <w:ind w:left="0" w:right="0" w:firstLine="480"/>
        <w:jc w:val="both"/>
        <w:keepLines w:val="0"/>
        <w:keepNext w:val="0"/>
        <w:pageBreakBefore w:val="0"/>
        <w:spacing w:beforeAutospacing="0" w:afterAutospacing="0" w:line="430" w:lineRule="exact"/>
        <w:shd w:val="clear" w:color="auto" w:fill="ffffff"/>
        <w:widowControl w:val="off"/>
        <w:rPr>
          <w:rFonts w:hint="eastAsia" w:ascii="宋体" w:hAnsi="宋体" w:eastAsia="宋体" w:cs="宋体"/>
          <w:i w:val="0"/>
          <w:iCs w:val="0"/>
          <w:caps w:val="0"/>
          <w:color w:val="333333"/>
          <w:spacing w:val="0"/>
          <w:sz w:val="24"/>
          <w:szCs w:val="24"/>
          <w:highlight w:val="none"/>
          <w:shd w:val="clear" w:color="auto" w:fill="ffffff"/>
          <w:lang w:val="en-US" w:eastAsia="zh-CN"/>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auto"/>
          <w:spacing w:val="0"/>
          <w:sz w:val="24"/>
          <w:szCs w:val="24"/>
          <w:highlight w:val="none"/>
          <w:shd w:val="clear" w:color="auto" w:fill="ffffff"/>
          <w:lang w:val="en-US" w:eastAsia="zh-CN"/>
        </w:rPr>
        <w:t xml:space="preserve">电　　话：</w:t>
      </w:r>
      <w:r>
        <w:rPr>
          <w:rFonts w:hint="eastAsia" w:ascii="宋体" w:hAnsi="宋体" w:eastAsia="宋体" w:cs="宋体"/>
          <w:color w:val="auto"/>
        </w:rPr>
        <w:t xml:space="preserve">13905115258</w:t>
      </w:r>
      <w:r>
        <w:rPr>
          <w:rFonts w:hint="eastAsia" w:ascii="宋体" w:hAnsi="宋体" w:eastAsia="宋体" w:cs="宋体"/>
          <w:i w:val="0"/>
          <w:iCs w:val="0"/>
          <w:caps w:val="0"/>
          <w:color w:val="auto"/>
          <w:spacing w:val="0"/>
          <w:sz w:val="24"/>
          <w:szCs w:val="24"/>
          <w:highlight w:val="none"/>
          <w:shd w:val="clear" w:color="auto" w:fill="ffffff"/>
          <w:lang w:val="en-US" w:eastAsia="zh-CN"/>
        </w:rPr>
        <w:t xml:space="preserve">　　</w:t>
      </w:r>
      <w:r>
        <w:rPr>
          <w:rFonts w:hint="eastAsia" w:ascii="宋体" w:hAnsi="宋体" w:eastAsia="宋体" w:cs="宋体"/>
          <w:i w:val="0"/>
          <w:iCs w:val="0"/>
          <w:caps w:val="0"/>
          <w:color w:val="333333"/>
          <w:spacing w:val="0"/>
          <w:sz w:val="24"/>
          <w:szCs w:val="24"/>
          <w:highlight w:val="none"/>
          <w:shd w:val="clear" w:color="auto" w:fill="ffffff"/>
          <w:lang w:val="en-US" w:eastAsia="zh-CN"/>
        </w:rPr>
        <w:t xml:space="preserve">　　　　</w:t>
      </w:r>
      <w:r/>
    </w:p>
    <w:p>
      <w:pPr>
        <w:pStyle w:val="856"/>
        <w:ind w:left="0" w:right="0" w:firstLine="480"/>
        <w:jc w:val="both"/>
        <w:keepLines w:val="0"/>
        <w:keepNext w:val="0"/>
        <w:pageBreakBefore w:val="0"/>
        <w:spacing w:beforeAutospacing="0" w:afterAutospacing="0" w:line="430" w:lineRule="exact"/>
        <w:shd w:val="clear" w:color="auto" w:fill="ffffff"/>
        <w:widowControl w:val="off"/>
        <w:rPr>
          <w:rFonts w:hint="eastAsia" w:ascii="宋体" w:hAnsi="宋体" w:eastAsia="宋体" w:cs="宋体"/>
          <w:bCs w:val="0"/>
          <w:i w:val="0"/>
          <w:caps w:val="0"/>
          <w:color w:val="333333"/>
          <w:spacing w:val="0"/>
          <w:sz w:val="24"/>
          <w:szCs w:val="24"/>
          <w:highlight w:val="none"/>
          <w:lang w:val="en-US" w:eastAsia="zh-CN"/>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i w:val="0"/>
          <w:iCs w:val="0"/>
          <w:caps w:val="0"/>
          <w:color w:val="333333"/>
          <w:spacing w:val="0"/>
          <w:sz w:val="24"/>
          <w:szCs w:val="24"/>
          <w:highlight w:val="none"/>
          <w:shd w:val="clear" w:color="auto" w:fill="ffffff"/>
          <w:lang w:val="en-US" w:eastAsia="zh-CN"/>
        </w:rPr>
      </w:r>
      <w:r>
        <w:rPr>
          <w:rFonts w:hint="eastAsia" w:ascii="宋体" w:hAnsi="宋体" w:eastAsia="宋体" w:cs="宋体"/>
          <w:i w:val="0"/>
          <w:iCs w:val="0"/>
          <w:caps w:val="0"/>
          <w:color w:val="333333"/>
          <w:spacing w:val="0"/>
          <w:sz w:val="24"/>
          <w:szCs w:val="24"/>
          <w:highlight w:val="none"/>
          <w:shd w:val="clear" w:color="auto" w:fill="ffffff"/>
          <w:lang w:val="en-US" w:eastAsia="zh-CN"/>
        </w:rPr>
      </w:r>
      <w:r/>
    </w:p>
    <w:p>
      <w:pPr>
        <w:pStyle w:val="856"/>
        <w:ind w:left="0" w:right="0" w:firstLine="480"/>
        <w:jc w:val="both"/>
        <w:keepLines w:val="0"/>
        <w:keepNext w:val="0"/>
        <w:pageBreakBefore w:val="0"/>
        <w:spacing w:beforeAutospacing="0" w:afterAutospacing="0" w:line="430" w:lineRule="exact"/>
        <w:shd w:val="clear" w:color="auto" w:fill="ffffff"/>
        <w:widowControl w:val="off"/>
        <w:rPr>
          <w:rFonts w:hint="eastAsia" w:ascii="宋体" w:hAnsi="宋体" w:eastAsia="宋体" w:cs="宋体"/>
          <w:i w:val="0"/>
          <w:iCs w:val="0"/>
          <w:caps w:val="0"/>
          <w:color w:val="333333"/>
          <w:spacing w:val="0"/>
          <w:sz w:val="24"/>
          <w:szCs w:val="24"/>
          <w:highlight w:val="none"/>
          <w:shd w:val="clear" w:color="auto" w:fill="ffffff"/>
          <w:lang w:val="en-US" w:eastAsia="zh-CN"/>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333333"/>
          <w:spacing w:val="0"/>
          <w:sz w:val="24"/>
          <w:szCs w:val="24"/>
          <w:highlight w:val="none"/>
          <w:shd w:val="clear" w:color="auto" w:fill="ffffff"/>
          <w:lang w:val="en-US" w:eastAsia="zh-CN"/>
        </w:rPr>
        <w:t xml:space="preserve">　　　　　　</w:t>
      </w:r>
      <w:r/>
    </w:p>
    <w:p>
      <w:pPr>
        <w:jc w:val="center"/>
        <w:keepLines w:val="0"/>
        <w:keepNext w:val="0"/>
        <w:pageBreakBefore w:val="0"/>
        <w:spacing w:line="500" w:lineRule="exact"/>
        <w:widowControl w:val="off"/>
        <w:rPr>
          <w:b w:val="0"/>
          <w:bCs/>
          <w:highlight w:val="none"/>
        </w:rPr>
      </w:pPr>
      <w:r/>
      <w:bookmarkStart w:id="35" w:name="_Toc120614211"/>
      <w:r>
        <w:rPr>
          <w:rFonts w:hint="eastAsia" w:ascii="黑体" w:hAnsi="宋体" w:eastAsia="黑体" w:cs="黑体"/>
          <w:b w:val="0"/>
          <w:bCs/>
          <w:color w:val="000000"/>
          <w:sz w:val="44"/>
          <w:szCs w:val="44"/>
          <w:highlight w:val="none"/>
        </w:rPr>
        <w:t xml:space="preserve">第二章 </w:t>
      </w:r>
      <w:bookmarkEnd w:id="35"/>
      <w:r/>
      <w:bookmarkStart w:id="36" w:name="_Toc16938518"/>
      <w:r/>
      <w:bookmarkStart w:id="37" w:name="_Toc120614213"/>
      <w:r/>
      <w:bookmarkStart w:id="38" w:name="_Toc20823274"/>
      <w:r/>
      <w:bookmarkStart w:id="39" w:name="_Toc513029202"/>
      <w:r>
        <w:rPr>
          <w:rFonts w:hint="eastAsia" w:ascii="黑体" w:hAnsi="宋体" w:eastAsia="黑体" w:cs="黑体"/>
          <w:b w:val="0"/>
          <w:bCs/>
          <w:color w:val="000000"/>
          <w:sz w:val="44"/>
          <w:szCs w:val="44"/>
          <w:highlight w:val="none"/>
        </w:rPr>
        <w:t xml:space="preserve">投标人须知</w:t>
      </w:r>
      <w:bookmarkEnd w:id="36"/>
      <w:r/>
      <w:bookmarkEnd w:id="37"/>
      <w:r/>
      <w:bookmarkEnd w:id="38"/>
      <w:r/>
      <w:bookmarkEnd w:id="39"/>
      <w:r/>
      <w:r/>
    </w:p>
    <w:p>
      <w:pPr>
        <w:pStyle w:val="856"/>
        <w:ind w:firstLine="482"/>
        <w:jc w:val="both"/>
        <w:keepLines/>
        <w:keepNext/>
        <w:pageBreakBefore w:val="0"/>
        <w:spacing w:beforeAutospacing="0" w:afterAutospacing="0" w:line="460" w:lineRule="exact"/>
        <w:widowControl w:val="off"/>
        <w:rPr>
          <w:rFonts w:hint="eastAsia" w:ascii="宋体" w:hAnsi="宋体" w:eastAsia="宋体" w:cs="宋体"/>
          <w:sz w:val="24"/>
          <w:szCs w:val="24"/>
          <w:highlight w:val="none"/>
        </w:rPr>
      </w:pPr>
      <w:r/>
      <w:bookmarkStart w:id="40" w:name="_Toc513029203"/>
      <w:r/>
      <w:bookmarkStart w:id="41" w:name="_Toc120614214"/>
      <w:r/>
      <w:bookmarkStart w:id="42" w:name="_Toc20823275"/>
      <w:r/>
      <w:bookmarkStart w:id="43" w:name="_Toc16938519"/>
      <w:r>
        <w:rPr>
          <w:rFonts w:hint="eastAsia" w:ascii="宋体" w:hAnsi="宋体" w:eastAsia="宋体" w:cs="宋体"/>
          <w:b/>
          <w:color w:val="000000"/>
          <w:sz w:val="24"/>
          <w:szCs w:val="24"/>
          <w:highlight w:val="none"/>
        </w:rPr>
        <w:t xml:space="preserve">一、总则</w:t>
      </w:r>
      <w:bookmarkEnd w:id="40"/>
      <w:r/>
      <w:bookmarkEnd w:id="41"/>
      <w:r/>
      <w:bookmarkEnd w:id="42"/>
      <w:r/>
      <w:bookmarkEnd w:id="43"/>
      <w:r/>
      <w:r/>
    </w:p>
    <w:p>
      <w:pPr>
        <w:pStyle w:val="856"/>
        <w:ind w:firstLine="480"/>
        <w:jc w:val="both"/>
        <w:keepLines/>
        <w:keepNext/>
        <w:pageBreakBefore w:val="0"/>
        <w:spacing w:beforeAutospacing="0" w:afterAutospacing="0" w:line="460" w:lineRule="exact"/>
        <w:widowControl w:val="off"/>
        <w:rPr>
          <w:rFonts w:hint="eastAsia" w:ascii="宋体" w:hAnsi="宋体" w:eastAsia="宋体" w:cs="宋体"/>
          <w:sz w:val="24"/>
          <w:szCs w:val="24"/>
          <w:highlight w:val="none"/>
        </w:rPr>
      </w:pPr>
      <w:r/>
      <w:bookmarkStart w:id="44" w:name="_Toc20823276"/>
      <w:r/>
      <w:bookmarkStart w:id="45" w:name="_Toc513029204"/>
      <w:r/>
      <w:bookmarkStart w:id="46" w:name="_Toc458694821"/>
      <w:r/>
      <w:bookmarkStart w:id="47" w:name="_Toc16938520"/>
      <w:r/>
      <w:bookmarkStart w:id="48" w:name="_Hlt16619475"/>
      <w:r>
        <w:rPr>
          <w:rFonts w:hint="eastAsia" w:ascii="宋体" w:hAnsi="宋体" w:eastAsia="宋体" w:cs="宋体"/>
          <w:color w:val="000000"/>
          <w:sz w:val="24"/>
          <w:szCs w:val="24"/>
          <w:highlight w:val="none"/>
        </w:rPr>
        <w:t xml:space="preserve">1</w:t>
      </w:r>
      <w:bookmarkEnd w:id="44"/>
      <w:r>
        <w:rPr>
          <w:rFonts w:hint="eastAsia" w:ascii="宋体" w:hAnsi="宋体" w:eastAsia="宋体" w:cs="宋体"/>
          <w:color w:val="000000"/>
          <w:sz w:val="24"/>
          <w:szCs w:val="24"/>
          <w:highlight w:val="none"/>
        </w:rPr>
        <w:t xml:space="preserve">、招标方式</w:t>
      </w:r>
      <w:bookmarkEnd w:id="45"/>
      <w:r/>
      <w:bookmarkEnd w:id="46"/>
      <w:r/>
      <w:bookmarkEnd w:id="47"/>
      <w:r/>
      <w:r/>
    </w:p>
    <w:p>
      <w:pPr>
        <w:pStyle w:val="856"/>
        <w:ind w:firstLine="480"/>
        <w:jc w:val="both"/>
        <w:pageBreakBefore w:val="0"/>
        <w:spacing w:beforeAutospacing="0" w:afterAutospacing="0" w:line="460" w:lineRule="exact"/>
        <w:widowControl w:val="off"/>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1.1 本次招标采取公开招标方式，本招标文件仅适用于招标公告中所述项目。</w:t>
      </w:r>
      <w:r/>
    </w:p>
    <w:p>
      <w:pPr>
        <w:pStyle w:val="856"/>
        <w:ind w:firstLine="480"/>
        <w:jc w:val="both"/>
        <w:keepLines/>
        <w:keepNext/>
        <w:pageBreakBefore w:val="0"/>
        <w:spacing w:beforeAutospacing="0" w:afterAutospacing="0" w:line="460" w:lineRule="exact"/>
        <w:widowControl w:val="off"/>
        <w:rPr>
          <w:rFonts w:hint="eastAsia" w:ascii="宋体" w:hAnsi="宋体" w:eastAsia="宋体" w:cs="宋体"/>
          <w:sz w:val="24"/>
          <w:szCs w:val="24"/>
          <w:highlight w:val="none"/>
        </w:rPr>
      </w:pPr>
      <w:r/>
      <w:bookmarkStart w:id="49" w:name="_Toc20823277"/>
      <w:r/>
      <w:bookmarkStart w:id="50" w:name="_Toc16938521"/>
      <w:r/>
      <w:bookmarkStart w:id="51" w:name="_Toc513029205"/>
      <w:r>
        <w:rPr>
          <w:rFonts w:hint="eastAsia" w:ascii="宋体" w:hAnsi="宋体" w:eastAsia="宋体" w:cs="宋体"/>
          <w:color w:val="000000"/>
          <w:sz w:val="24"/>
          <w:szCs w:val="24"/>
          <w:highlight w:val="none"/>
        </w:rPr>
        <w:t xml:space="preserve">2、合格的投标人</w:t>
      </w:r>
      <w:bookmarkEnd w:id="49"/>
      <w:r/>
      <w:bookmarkEnd w:id="50"/>
      <w:r/>
      <w:bookmarkEnd w:id="51"/>
      <w:r/>
      <w:r/>
    </w:p>
    <w:p>
      <w:pPr>
        <w:pStyle w:val="856"/>
        <w:ind w:firstLine="480"/>
        <w:jc w:val="both"/>
        <w:pageBreakBefore w:val="0"/>
        <w:spacing w:beforeAutospacing="0" w:afterAutospacing="0" w:line="460" w:lineRule="exact"/>
        <w:widowControl w:val="off"/>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2.1</w:t>
      </w:r>
      <w:r>
        <w:rPr>
          <w:rFonts w:hint="eastAsia" w:ascii="宋体" w:hAnsi="宋体" w:eastAsia="宋体" w:cs="宋体"/>
          <w:color w:val="000000"/>
          <w:sz w:val="24"/>
          <w:szCs w:val="24"/>
          <w:highlight w:val="none"/>
          <w:lang w:val="en-US" w:eastAsia="zh-CN"/>
        </w:rPr>
        <w:t xml:space="preserve"> </w:t>
      </w:r>
      <w:r>
        <w:rPr>
          <w:rFonts w:hint="eastAsia" w:ascii="宋体" w:hAnsi="宋体" w:eastAsia="宋体" w:cs="宋体"/>
          <w:color w:val="000000"/>
          <w:sz w:val="24"/>
          <w:szCs w:val="24"/>
          <w:highlight w:val="none"/>
        </w:rPr>
        <w:t xml:space="preserve">满足招标公告中供应商的资格要求的规定。</w:t>
      </w:r>
      <w:r/>
    </w:p>
    <w:p>
      <w:pPr>
        <w:pStyle w:val="856"/>
        <w:ind w:firstLine="480"/>
        <w:jc w:val="both"/>
        <w:pageBreakBefore w:val="0"/>
        <w:spacing w:beforeAutospacing="0" w:afterAutospacing="0" w:line="460" w:lineRule="exact"/>
        <w:widowControl w:val="off"/>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2.2 满足本文件实质性要求和条件的规定。</w:t>
      </w:r>
      <w:r/>
    </w:p>
    <w:p>
      <w:pPr>
        <w:pStyle w:val="856"/>
        <w:ind w:firstLine="480"/>
        <w:jc w:val="both"/>
        <w:keepLines/>
        <w:keepNext/>
        <w:pageBreakBefore w:val="0"/>
        <w:spacing w:beforeAutospacing="0" w:afterAutospacing="0" w:line="460" w:lineRule="exact"/>
        <w:widowControl w:val="off"/>
        <w:rPr>
          <w:rFonts w:hint="eastAsia" w:ascii="宋体" w:hAnsi="宋体" w:eastAsia="宋体" w:cs="宋体"/>
          <w:sz w:val="24"/>
          <w:szCs w:val="24"/>
          <w:highlight w:val="none"/>
        </w:rPr>
      </w:pPr>
      <w:r/>
      <w:bookmarkStart w:id="52" w:name="_Toc513029206"/>
      <w:r/>
      <w:bookmarkStart w:id="53" w:name="_Toc16938522"/>
      <w:r/>
      <w:bookmarkStart w:id="54" w:name="_Toc20823278"/>
      <w:r>
        <w:rPr>
          <w:rFonts w:hint="eastAsia" w:ascii="宋体" w:hAnsi="宋体" w:eastAsia="宋体" w:cs="宋体"/>
          <w:color w:val="000000"/>
          <w:sz w:val="24"/>
          <w:szCs w:val="24"/>
          <w:highlight w:val="none"/>
        </w:rPr>
        <w:t xml:space="preserve">3、适用法律</w:t>
      </w:r>
      <w:bookmarkEnd w:id="52"/>
      <w:r/>
      <w:bookmarkEnd w:id="53"/>
      <w:r/>
      <w:bookmarkEnd w:id="54"/>
      <w:r/>
      <w:r/>
    </w:p>
    <w:p>
      <w:pPr>
        <w:pStyle w:val="856"/>
        <w:ind w:firstLine="480"/>
        <w:jc w:val="both"/>
        <w:pageBreakBefore w:val="0"/>
        <w:spacing w:beforeAutospacing="0" w:afterAutospacing="0" w:line="460" w:lineRule="exact"/>
        <w:widowControl w:val="off"/>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3.1 本次招标及由此产生的合同受中华人民共和国有关的法律法规制约和保护。</w:t>
      </w:r>
      <w:r/>
    </w:p>
    <w:p>
      <w:pPr>
        <w:pStyle w:val="856"/>
        <w:ind w:firstLine="480"/>
        <w:jc w:val="both"/>
        <w:keepLines/>
        <w:keepNext/>
        <w:pageBreakBefore w:val="0"/>
        <w:spacing w:beforeAutospacing="0" w:afterAutospacing="0" w:line="460" w:lineRule="exact"/>
        <w:widowControl w:val="off"/>
        <w:rPr>
          <w:rFonts w:hint="eastAsia" w:ascii="宋体" w:hAnsi="宋体" w:eastAsia="宋体" w:cs="宋体"/>
          <w:sz w:val="24"/>
          <w:szCs w:val="24"/>
          <w:highlight w:val="none"/>
        </w:rPr>
      </w:pPr>
      <w:r/>
      <w:bookmarkStart w:id="55" w:name="_Toc16938523"/>
      <w:r/>
      <w:bookmarkStart w:id="56" w:name="_Toc462564067"/>
      <w:r/>
      <w:bookmarkStart w:id="57" w:name="_Toc20823279"/>
      <w:r/>
      <w:bookmarkStart w:id="58" w:name="_Toc513029207"/>
      <w:r>
        <w:rPr>
          <w:rFonts w:hint="eastAsia" w:ascii="宋体" w:hAnsi="宋体" w:eastAsia="宋体" w:cs="宋体"/>
          <w:color w:val="000000"/>
          <w:sz w:val="24"/>
          <w:szCs w:val="24"/>
          <w:highlight w:val="none"/>
        </w:rPr>
        <w:t xml:space="preserve">4、投标费用</w:t>
      </w:r>
      <w:bookmarkEnd w:id="55"/>
      <w:r/>
      <w:bookmarkEnd w:id="56"/>
      <w:r/>
      <w:bookmarkEnd w:id="57"/>
      <w:r/>
      <w:bookmarkEnd w:id="58"/>
      <w:r/>
      <w:r/>
    </w:p>
    <w:p>
      <w:pPr>
        <w:pStyle w:val="856"/>
        <w:ind w:firstLine="480"/>
        <w:jc w:val="both"/>
        <w:pageBreakBefore w:val="0"/>
        <w:spacing w:beforeAutospacing="0" w:afterAutospacing="0" w:line="460" w:lineRule="exact"/>
        <w:widowControl w:val="off"/>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4.1 投标人应自行承担所有与参加投标有关的费用，无论投标过程中的做法和结果如何，</w:t>
      </w:r>
      <w:r>
        <w:rPr>
          <w:rFonts w:hint="eastAsia" w:ascii="宋体" w:hAnsi="宋体" w:eastAsia="宋体" w:cs="宋体"/>
          <w:color w:val="000000"/>
          <w:sz w:val="24"/>
          <w:szCs w:val="24"/>
          <w:highlight w:val="none"/>
          <w:lang w:eastAsia="zh-CN"/>
        </w:rPr>
        <w:t xml:space="preserve">采购代理机构</w:t>
      </w:r>
      <w:r>
        <w:rPr>
          <w:rFonts w:hint="eastAsia" w:ascii="宋体" w:hAnsi="宋体" w:eastAsia="宋体" w:cs="宋体"/>
          <w:color w:val="000000"/>
          <w:sz w:val="24"/>
          <w:szCs w:val="24"/>
          <w:highlight w:val="none"/>
        </w:rPr>
        <w:t xml:space="preserve">在任何情况下均无义务和责任承担这些费用。</w:t>
      </w:r>
      <w:r/>
    </w:p>
    <w:p>
      <w:pPr>
        <w:pStyle w:val="856"/>
        <w:ind w:firstLine="480"/>
        <w:jc w:val="both"/>
        <w:pageBreakBefore w:val="0"/>
        <w:spacing w:beforeAutospacing="0" w:afterAutospacing="0" w:line="460" w:lineRule="exact"/>
        <w:widowControl w:val="off"/>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4.2</w:t>
      </w:r>
      <w:r>
        <w:rPr>
          <w:rFonts w:hint="eastAsia" w:ascii="宋体" w:hAnsi="宋体" w:eastAsia="宋体" w:cs="宋体"/>
          <w:color w:val="000000"/>
          <w:sz w:val="24"/>
          <w:szCs w:val="24"/>
          <w:highlight w:val="none"/>
          <w:lang w:val="en-US" w:eastAsia="zh-CN"/>
        </w:rPr>
        <w:t xml:space="preserve"> </w:t>
      </w:r>
      <w:r>
        <w:rPr>
          <w:rFonts w:hint="eastAsia" w:ascii="宋体" w:hAnsi="宋体" w:eastAsia="宋体" w:cs="宋体"/>
          <w:color w:val="000000"/>
          <w:sz w:val="24"/>
          <w:szCs w:val="24"/>
          <w:highlight w:val="none"/>
        </w:rPr>
        <w:t xml:space="preserve">本次招标</w:t>
      </w:r>
      <w:r>
        <w:rPr>
          <w:rFonts w:hint="eastAsia" w:ascii="宋体" w:hAnsi="宋体" w:eastAsia="宋体" w:cs="宋体"/>
          <w:color w:val="000000"/>
          <w:sz w:val="24"/>
          <w:szCs w:val="24"/>
          <w:highlight w:val="none"/>
          <w:lang w:eastAsia="zh-CN"/>
        </w:rPr>
        <w:t xml:space="preserve">采购代理机构</w:t>
      </w:r>
      <w:r>
        <w:rPr>
          <w:rFonts w:hint="eastAsia" w:ascii="宋体" w:hAnsi="宋体" w:eastAsia="宋体" w:cs="宋体"/>
          <w:color w:val="000000"/>
          <w:sz w:val="24"/>
          <w:szCs w:val="24"/>
          <w:highlight w:val="none"/>
        </w:rPr>
        <w:t xml:space="preserve">和采购人不收取标书工本费。</w:t>
      </w:r>
      <w:r/>
    </w:p>
    <w:p>
      <w:pPr>
        <w:pStyle w:val="856"/>
        <w:ind w:firstLine="480"/>
        <w:jc w:val="both"/>
        <w:keepLines/>
        <w:keepNext/>
        <w:pageBreakBefore w:val="0"/>
        <w:spacing w:beforeAutospacing="0" w:afterAutospacing="0" w:line="460" w:lineRule="exact"/>
        <w:widowControl w:val="off"/>
        <w:rPr>
          <w:rFonts w:hint="eastAsia" w:ascii="宋体" w:hAnsi="宋体" w:eastAsia="宋体" w:cs="宋体"/>
          <w:color w:val="000000"/>
          <w:sz w:val="24"/>
          <w:szCs w:val="24"/>
        </w:rPr>
      </w:pPr>
      <w:r>
        <w:rPr>
          <w:rFonts w:hint="eastAsia" w:ascii="宋体" w:hAnsi="宋体" w:cs="宋体"/>
          <w:sz w:val="24"/>
          <w:szCs w:val="24"/>
          <w:lang w:val="en-US" w:eastAsia="zh-CN"/>
        </w:rPr>
        <w:t xml:space="preserve">4.3 </w:t>
      </w:r>
      <w:r>
        <w:rPr>
          <w:rFonts w:hint="eastAsia" w:ascii="宋体" w:hAnsi="宋体" w:eastAsia="宋体" w:cs="宋体"/>
          <w:color w:val="000000"/>
          <w:sz w:val="24"/>
          <w:szCs w:val="24"/>
        </w:rPr>
        <w:t xml:space="preserve">本项目</w:t>
      </w:r>
      <w:r>
        <w:rPr>
          <w:rFonts w:hint="eastAsia" w:ascii="宋体" w:hAnsi="宋体" w:eastAsia="宋体" w:cs="宋体"/>
          <w:color w:val="000000"/>
          <w:sz w:val="24"/>
          <w:szCs w:val="24"/>
          <w:lang w:eastAsia="zh-CN"/>
        </w:rPr>
        <w:t xml:space="preserve">采购</w:t>
      </w:r>
      <w:r>
        <w:rPr>
          <w:rFonts w:hint="eastAsia" w:ascii="宋体" w:hAnsi="宋体" w:eastAsia="宋体" w:cs="宋体"/>
          <w:color w:val="000000"/>
          <w:sz w:val="24"/>
          <w:szCs w:val="24"/>
        </w:rPr>
        <w:t xml:space="preserve">代理服务费用按《江苏省政府采购代理服务收费指导意见》（苏政采协【2024】20号）收费标准进行计取。该费用折算在报价中，不在投标文件中单独列出。</w:t>
      </w:r>
      <w:r/>
    </w:p>
    <w:p>
      <w:pPr>
        <w:pStyle w:val="856"/>
        <w:ind w:firstLine="480"/>
        <w:jc w:val="both"/>
        <w:keepLines/>
        <w:keepNext/>
        <w:pageBreakBefore w:val="0"/>
        <w:spacing w:beforeAutospacing="0" w:afterAutospacing="0" w:line="460" w:lineRule="exact"/>
        <w:widowControl w:val="off"/>
        <w:rPr>
          <w:rFonts w:hint="eastAsia" w:ascii="宋体" w:hAnsi="宋体" w:eastAsia="宋体" w:cs="宋体"/>
          <w:sz w:val="24"/>
          <w:szCs w:val="24"/>
          <w:highlight w:val="none"/>
        </w:rPr>
      </w:pPr>
      <w:r>
        <w:rPr>
          <w:rFonts w:hint="eastAsia" w:ascii="宋体" w:hAnsi="宋体" w:eastAsia="宋体" w:cs="宋体"/>
          <w:b w:val="0"/>
          <w:bCs/>
          <w:color w:val="000000"/>
          <w:sz w:val="24"/>
          <w:szCs w:val="24"/>
          <w:highlight w:val="none"/>
        </w:rPr>
        <w:t xml:space="preserve">5、</w:t>
      </w:r>
      <w:r>
        <w:rPr>
          <w:rFonts w:hint="eastAsia" w:ascii="宋体" w:hAnsi="宋体" w:eastAsia="宋体" w:cs="宋体"/>
          <w:color w:val="000000"/>
          <w:sz w:val="24"/>
          <w:szCs w:val="24"/>
          <w:highlight w:val="none"/>
        </w:rPr>
        <w:t xml:space="preserve">招标文件的约束力</w:t>
      </w:r>
      <w:r/>
    </w:p>
    <w:p>
      <w:pPr>
        <w:pStyle w:val="856"/>
        <w:ind w:firstLine="480"/>
        <w:jc w:val="both"/>
        <w:pageBreakBefore w:val="0"/>
        <w:spacing w:beforeAutospacing="0" w:afterAutospacing="0" w:line="460" w:lineRule="exact"/>
        <w:widowControl w:val="off"/>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5.1 投标人一旦参加本项目采购活动，即被认为接受了本招标文件的规定和约束。</w:t>
      </w:r>
      <w:r/>
    </w:p>
    <w:p>
      <w:pPr>
        <w:pStyle w:val="856"/>
        <w:ind w:firstLine="482"/>
        <w:jc w:val="both"/>
        <w:keepLines/>
        <w:keepNext/>
        <w:pageBreakBefore w:val="0"/>
        <w:spacing w:beforeAutospacing="0" w:afterAutospacing="0" w:line="460" w:lineRule="exact"/>
        <w:widowControl w:val="off"/>
        <w:rPr>
          <w:rFonts w:hint="eastAsia" w:ascii="宋体" w:hAnsi="宋体" w:eastAsia="宋体" w:cs="宋体"/>
          <w:sz w:val="24"/>
          <w:szCs w:val="24"/>
          <w:highlight w:val="none"/>
        </w:rPr>
      </w:pPr>
      <w:r/>
      <w:bookmarkStart w:id="59" w:name="_Toc513029209"/>
      <w:r/>
      <w:bookmarkStart w:id="60" w:name="_Toc20823281"/>
      <w:r/>
      <w:bookmarkStart w:id="61" w:name="_Toc16938525"/>
      <w:r/>
      <w:bookmarkStart w:id="62" w:name="_Toc120614215"/>
      <w:r>
        <w:rPr>
          <w:rFonts w:hint="eastAsia" w:ascii="宋体" w:hAnsi="宋体" w:eastAsia="宋体" w:cs="宋体"/>
          <w:b/>
          <w:color w:val="000000"/>
          <w:sz w:val="24"/>
          <w:szCs w:val="24"/>
          <w:highlight w:val="none"/>
        </w:rPr>
        <w:t xml:space="preserve">二、招标文件</w:t>
      </w:r>
      <w:bookmarkEnd w:id="59"/>
      <w:r/>
      <w:bookmarkEnd w:id="60"/>
      <w:r/>
      <w:bookmarkEnd w:id="61"/>
      <w:r/>
      <w:bookmarkEnd w:id="62"/>
      <w:r/>
      <w:r/>
    </w:p>
    <w:p>
      <w:pPr>
        <w:pStyle w:val="856"/>
        <w:ind w:firstLine="480"/>
        <w:jc w:val="both"/>
        <w:keepLines/>
        <w:keepNext/>
        <w:pageBreakBefore w:val="0"/>
        <w:spacing w:beforeAutospacing="0" w:afterAutospacing="0" w:line="460" w:lineRule="exact"/>
        <w:widowControl w:val="off"/>
        <w:rPr>
          <w:rFonts w:hint="eastAsia" w:ascii="宋体" w:hAnsi="宋体" w:eastAsia="宋体" w:cs="宋体"/>
          <w:sz w:val="24"/>
          <w:szCs w:val="24"/>
          <w:highlight w:val="none"/>
        </w:rPr>
      </w:pPr>
      <w:r/>
      <w:bookmarkStart w:id="63" w:name="_Toc513029210"/>
      <w:r/>
      <w:bookmarkStart w:id="64" w:name="_Toc20823282"/>
      <w:r/>
      <w:bookmarkStart w:id="65" w:name="_Toc16938526"/>
      <w:r>
        <w:rPr>
          <w:rFonts w:hint="eastAsia" w:ascii="宋体" w:hAnsi="宋体" w:eastAsia="宋体" w:cs="宋体"/>
          <w:color w:val="000000"/>
          <w:sz w:val="24"/>
          <w:szCs w:val="24"/>
          <w:highlight w:val="none"/>
        </w:rPr>
        <w:t xml:space="preserve">6、招标文件构成</w:t>
      </w:r>
      <w:bookmarkEnd w:id="63"/>
      <w:r/>
      <w:bookmarkEnd w:id="64"/>
      <w:r/>
      <w:bookmarkEnd w:id="65"/>
      <w:r/>
      <w:r/>
    </w:p>
    <w:p>
      <w:pPr>
        <w:pStyle w:val="856"/>
        <w:ind w:firstLine="480"/>
        <w:jc w:val="both"/>
        <w:pageBreakBefore w:val="0"/>
        <w:spacing w:beforeAutospacing="0" w:afterAutospacing="0" w:line="460" w:lineRule="exact"/>
        <w:widowControl w:val="off"/>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6.1 招标文件由以下部分组成：</w:t>
      </w:r>
      <w:r/>
    </w:p>
    <w:p>
      <w:pPr>
        <w:pStyle w:val="856"/>
        <w:ind w:firstLine="480"/>
        <w:jc w:val="both"/>
        <w:pageBreakBefore w:val="0"/>
        <w:spacing w:beforeAutospacing="0" w:afterAutospacing="0" w:line="460" w:lineRule="exact"/>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rPr>
        <w:t xml:space="preserve">（1）</w:t>
      </w:r>
      <w:r>
        <w:rPr>
          <w:rFonts w:hint="eastAsia" w:ascii="宋体" w:hAnsi="宋体" w:eastAsia="宋体" w:cs="宋体"/>
          <w:color w:val="000000"/>
          <w:sz w:val="24"/>
          <w:szCs w:val="24"/>
          <w:highlight w:val="none"/>
          <w:lang w:val="en-US" w:eastAsia="zh-CN"/>
        </w:rPr>
        <w:t xml:space="preserve">招标公告</w:t>
      </w:r>
      <w:r/>
    </w:p>
    <w:p>
      <w:pPr>
        <w:pStyle w:val="856"/>
        <w:ind w:firstLine="480"/>
        <w:jc w:val="both"/>
        <w:pageBreakBefore w:val="0"/>
        <w:spacing w:beforeAutospacing="0" w:afterAutospacing="0" w:line="460" w:lineRule="exact"/>
        <w:widowControl w:val="off"/>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（2）投标人须知</w:t>
      </w:r>
      <w:r/>
    </w:p>
    <w:p>
      <w:pPr>
        <w:pStyle w:val="856"/>
        <w:ind w:firstLine="480"/>
        <w:jc w:val="both"/>
        <w:pageBreakBefore w:val="0"/>
        <w:spacing w:beforeAutospacing="0" w:afterAutospacing="0" w:line="460" w:lineRule="exact"/>
        <w:widowControl w:val="off"/>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（3）合同文本</w:t>
      </w:r>
      <w:r/>
    </w:p>
    <w:p>
      <w:pPr>
        <w:pStyle w:val="856"/>
        <w:ind w:firstLine="480"/>
        <w:jc w:val="both"/>
        <w:pageBreakBefore w:val="0"/>
        <w:spacing w:beforeAutospacing="0" w:afterAutospacing="0" w:line="460" w:lineRule="exact"/>
        <w:widowControl w:val="off"/>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（4）采购需求</w:t>
      </w:r>
      <w:r/>
    </w:p>
    <w:p>
      <w:pPr>
        <w:pStyle w:val="856"/>
        <w:ind w:firstLine="480"/>
        <w:jc w:val="both"/>
        <w:pageBreakBefore w:val="0"/>
        <w:spacing w:beforeAutospacing="0" w:afterAutospacing="0" w:line="460" w:lineRule="exact"/>
        <w:widowControl w:val="off"/>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（5）评标方法与评标标准</w:t>
      </w:r>
      <w:r/>
    </w:p>
    <w:p>
      <w:pPr>
        <w:pStyle w:val="856"/>
        <w:ind w:firstLine="480"/>
        <w:jc w:val="both"/>
        <w:pageBreakBefore w:val="0"/>
        <w:spacing w:beforeAutospacing="0" w:afterAutospacing="0" w:line="460" w:lineRule="exact"/>
        <w:widowControl w:val="off"/>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（6）投标文件格式</w:t>
      </w:r>
      <w:r/>
    </w:p>
    <w:p>
      <w:pPr>
        <w:pStyle w:val="856"/>
        <w:ind w:firstLine="480"/>
        <w:jc w:val="both"/>
        <w:pageBreakBefore w:val="0"/>
        <w:spacing w:beforeAutospacing="0" w:afterAutospacing="0" w:line="460" w:lineRule="exact"/>
        <w:widowControl w:val="off"/>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请仔细检查招标文件是否齐全，如有缺漏请立即与</w:t>
      </w:r>
      <w:r>
        <w:rPr>
          <w:rFonts w:hint="eastAsia" w:ascii="宋体" w:hAnsi="宋体" w:eastAsia="宋体" w:cs="宋体"/>
          <w:color w:val="000000"/>
          <w:sz w:val="24"/>
          <w:szCs w:val="24"/>
          <w:highlight w:val="none"/>
          <w:lang w:eastAsia="zh-CN"/>
        </w:rPr>
        <w:t xml:space="preserve">采购代理机构</w:t>
      </w:r>
      <w:r>
        <w:rPr>
          <w:rFonts w:hint="eastAsia" w:ascii="宋体" w:hAnsi="宋体" w:eastAsia="宋体" w:cs="宋体"/>
          <w:color w:val="000000"/>
          <w:sz w:val="24"/>
          <w:szCs w:val="24"/>
          <w:highlight w:val="none"/>
        </w:rPr>
        <w:t xml:space="preserve">联系解决。</w:t>
      </w:r>
      <w:r/>
    </w:p>
    <w:p>
      <w:pPr>
        <w:pStyle w:val="856"/>
        <w:ind w:firstLine="480"/>
        <w:jc w:val="both"/>
        <w:pageBreakBefore w:val="0"/>
        <w:spacing w:beforeAutospacing="0" w:afterAutospacing="0" w:line="460" w:lineRule="exact"/>
        <w:widowControl w:val="off"/>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6.2 投标人应认真阅读招标文件中所有的事项、格式、条款和规范等要求。按招标文件要求和规定编制投标文件，并保证所提供的全部资料的真实性，以使其投标文件对招标文件作出实质性响应，否则其风险由投标人自行承担。</w:t>
      </w:r>
      <w:r/>
    </w:p>
    <w:p>
      <w:pPr>
        <w:pStyle w:val="856"/>
        <w:ind w:firstLine="480"/>
        <w:jc w:val="both"/>
        <w:keepLines/>
        <w:keepNext/>
        <w:pageBreakBefore w:val="0"/>
        <w:spacing w:beforeAutospacing="0" w:afterAutospacing="0" w:line="460" w:lineRule="exact"/>
        <w:widowControl w:val="off"/>
        <w:rPr>
          <w:rFonts w:hint="eastAsia" w:ascii="宋体" w:hAnsi="宋体" w:eastAsia="宋体" w:cs="宋体"/>
          <w:sz w:val="24"/>
          <w:szCs w:val="24"/>
          <w:highlight w:val="none"/>
        </w:rPr>
      </w:pPr>
      <w:r/>
      <w:bookmarkStart w:id="66" w:name="_Toc20823283"/>
      <w:r/>
      <w:bookmarkStart w:id="67" w:name="_Toc16938527"/>
      <w:r/>
      <w:bookmarkStart w:id="68" w:name="_Toc462564070"/>
      <w:r/>
      <w:bookmarkStart w:id="69" w:name="_Toc513029211"/>
      <w:r>
        <w:rPr>
          <w:rFonts w:hint="eastAsia" w:ascii="宋体" w:hAnsi="宋体" w:eastAsia="宋体" w:cs="宋体"/>
          <w:color w:val="000000"/>
          <w:sz w:val="24"/>
          <w:szCs w:val="24"/>
          <w:highlight w:val="none"/>
        </w:rPr>
        <w:t xml:space="preserve">7、招标文件的澄清</w:t>
      </w:r>
      <w:bookmarkEnd w:id="66"/>
      <w:r/>
      <w:bookmarkEnd w:id="67"/>
      <w:r/>
      <w:bookmarkEnd w:id="68"/>
      <w:r/>
      <w:bookmarkEnd w:id="69"/>
      <w:r/>
      <w:r/>
    </w:p>
    <w:p>
      <w:pPr>
        <w:pStyle w:val="856"/>
        <w:ind w:firstLine="480"/>
        <w:jc w:val="both"/>
        <w:pageBreakBefore w:val="0"/>
        <w:spacing w:beforeAutospacing="0" w:afterAutospacing="0" w:line="460" w:lineRule="exact"/>
        <w:widowControl w:val="off"/>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7.1 任何要求对招标文件进行澄清的投标人，应在投标截止期</w:t>
      </w:r>
      <w:r>
        <w:rPr>
          <w:rFonts w:hint="eastAsia" w:ascii="宋体" w:hAnsi="宋体" w:eastAsia="宋体" w:cs="宋体"/>
          <w:b/>
          <w:color w:val="000000"/>
          <w:sz w:val="24"/>
          <w:szCs w:val="24"/>
          <w:highlight w:val="none"/>
        </w:rPr>
        <w:t xml:space="preserve">十日</w:t>
      </w:r>
      <w:r>
        <w:rPr>
          <w:rFonts w:hint="eastAsia" w:ascii="宋体" w:hAnsi="宋体" w:eastAsia="宋体" w:cs="宋体"/>
          <w:color w:val="000000"/>
          <w:sz w:val="24"/>
          <w:szCs w:val="24"/>
          <w:highlight w:val="none"/>
        </w:rPr>
        <w:t xml:space="preserve">前按招标公告中的通讯地址，以书面形式通知</w:t>
      </w:r>
      <w:r>
        <w:rPr>
          <w:rFonts w:hint="eastAsia" w:ascii="宋体" w:hAnsi="宋体" w:eastAsia="宋体" w:cs="宋体"/>
          <w:color w:val="000000"/>
          <w:sz w:val="24"/>
          <w:szCs w:val="24"/>
          <w:highlight w:val="none"/>
          <w:lang w:eastAsia="zh-CN"/>
        </w:rPr>
        <w:t xml:space="preserve">采购代理机构</w:t>
      </w:r>
      <w:r>
        <w:rPr>
          <w:rFonts w:hint="eastAsia" w:ascii="宋体" w:hAnsi="宋体" w:eastAsia="宋体" w:cs="宋体"/>
          <w:color w:val="000000"/>
          <w:sz w:val="24"/>
          <w:szCs w:val="24"/>
          <w:highlight w:val="none"/>
        </w:rPr>
        <w:t xml:space="preserve">。</w:t>
      </w:r>
      <w:r/>
    </w:p>
    <w:p>
      <w:pPr>
        <w:pStyle w:val="856"/>
        <w:ind w:firstLine="480"/>
        <w:jc w:val="both"/>
        <w:keepLines/>
        <w:keepNext/>
        <w:pageBreakBefore w:val="0"/>
        <w:spacing w:beforeAutospacing="0" w:afterAutospacing="0" w:line="460" w:lineRule="exact"/>
        <w:widowControl w:val="off"/>
        <w:rPr>
          <w:rFonts w:hint="eastAsia" w:ascii="宋体" w:hAnsi="宋体" w:eastAsia="宋体" w:cs="宋体"/>
          <w:sz w:val="24"/>
          <w:szCs w:val="24"/>
          <w:highlight w:val="none"/>
        </w:rPr>
      </w:pPr>
      <w:r/>
      <w:bookmarkStart w:id="70" w:name="_Toc20823284"/>
      <w:r/>
      <w:bookmarkStart w:id="71" w:name="_Toc16938528"/>
      <w:r/>
      <w:bookmarkStart w:id="72" w:name="_Toc462564071"/>
      <w:r/>
      <w:bookmarkStart w:id="73" w:name="_Toc513029212"/>
      <w:r>
        <w:rPr>
          <w:rFonts w:hint="eastAsia" w:ascii="宋体" w:hAnsi="宋体" w:eastAsia="宋体" w:cs="宋体"/>
          <w:color w:val="000000"/>
          <w:sz w:val="24"/>
          <w:szCs w:val="24"/>
          <w:highlight w:val="none"/>
        </w:rPr>
        <w:t xml:space="preserve">8、招标文件的修改</w:t>
      </w:r>
      <w:bookmarkEnd w:id="70"/>
      <w:r/>
      <w:bookmarkEnd w:id="71"/>
      <w:r/>
      <w:bookmarkEnd w:id="72"/>
      <w:r/>
      <w:bookmarkEnd w:id="73"/>
      <w:r/>
      <w:r/>
    </w:p>
    <w:p>
      <w:pPr>
        <w:pStyle w:val="856"/>
        <w:ind w:firstLine="480"/>
        <w:jc w:val="both"/>
        <w:pageBreakBefore w:val="0"/>
        <w:spacing w:beforeAutospacing="0" w:afterAutospacing="0" w:line="460" w:lineRule="exact"/>
        <w:widowControl w:val="off"/>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8.1 在投标截止时间前，</w:t>
      </w:r>
      <w:r>
        <w:rPr>
          <w:rFonts w:hint="eastAsia" w:ascii="宋体" w:hAnsi="宋体" w:eastAsia="宋体" w:cs="宋体"/>
          <w:color w:val="000000"/>
          <w:sz w:val="24"/>
          <w:szCs w:val="24"/>
          <w:highlight w:val="none"/>
          <w:lang w:eastAsia="zh-CN"/>
        </w:rPr>
        <w:t xml:space="preserve">采购代理机构</w:t>
      </w:r>
      <w:r>
        <w:rPr>
          <w:rFonts w:hint="eastAsia" w:ascii="宋体" w:hAnsi="宋体" w:eastAsia="宋体" w:cs="宋体"/>
          <w:color w:val="000000"/>
          <w:sz w:val="24"/>
          <w:szCs w:val="24"/>
          <w:highlight w:val="none"/>
        </w:rPr>
        <w:t xml:space="preserve">可以对招标文件进行修改。</w:t>
      </w:r>
      <w:r/>
    </w:p>
    <w:p>
      <w:pPr>
        <w:pStyle w:val="856"/>
        <w:ind w:firstLine="480"/>
        <w:jc w:val="both"/>
        <w:pageBreakBefore w:val="0"/>
        <w:spacing w:beforeAutospacing="0" w:afterAutospacing="0" w:line="460" w:lineRule="exact"/>
        <w:widowControl w:val="off"/>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8.2 </w:t>
      </w:r>
      <w:r>
        <w:rPr>
          <w:rFonts w:hint="eastAsia" w:ascii="宋体" w:hAnsi="宋体" w:eastAsia="宋体" w:cs="宋体"/>
          <w:color w:val="000000"/>
          <w:sz w:val="24"/>
          <w:szCs w:val="24"/>
          <w:highlight w:val="none"/>
          <w:lang w:eastAsia="zh-CN"/>
        </w:rPr>
        <w:t xml:space="preserve">采购代理机构</w:t>
      </w:r>
      <w:r>
        <w:rPr>
          <w:rFonts w:hint="eastAsia" w:ascii="宋体" w:hAnsi="宋体" w:eastAsia="宋体" w:cs="宋体"/>
          <w:color w:val="000000"/>
          <w:sz w:val="24"/>
          <w:szCs w:val="24"/>
          <w:highlight w:val="none"/>
        </w:rPr>
        <w:t xml:space="preserve">有权按照法定的要求推迟投标截止日期和开标日期。</w:t>
      </w:r>
      <w:r/>
    </w:p>
    <w:p>
      <w:pPr>
        <w:pStyle w:val="856"/>
        <w:ind w:firstLine="480"/>
        <w:jc w:val="both"/>
        <w:pageBreakBefore w:val="0"/>
        <w:spacing w:beforeAutospacing="0" w:afterAutospacing="0" w:line="460" w:lineRule="exact"/>
        <w:widowControl w:val="off"/>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8.3 招标文件的修改将在</w:t>
      </w:r>
      <w:r>
        <w:rPr>
          <w:rFonts w:hint="eastAsia" w:ascii="宋体" w:hAnsi="宋体" w:eastAsia="宋体" w:cs="宋体"/>
          <w:color w:val="000000"/>
          <w:sz w:val="24"/>
          <w:szCs w:val="24"/>
          <w:highlight w:val="none"/>
          <w:lang w:val="en-US" w:eastAsia="zh-CN" w:bidi="ar-SA"/>
        </w:rPr>
        <w:t xml:space="preserve">中国政府采购网</w:t>
      </w:r>
      <w:r>
        <w:rPr>
          <w:rFonts w:hint="eastAsia" w:ascii="宋体" w:hAnsi="宋体" w:eastAsia="宋体" w:cs="宋体"/>
          <w:i w:val="0"/>
          <w:iCs w:val="0"/>
          <w:caps w:val="0"/>
          <w:color w:val="333333"/>
          <w:spacing w:val="0"/>
          <w:sz w:val="24"/>
          <w:szCs w:val="24"/>
          <w:highlight w:val="none"/>
          <w:shd w:val="clear" w:color="auto" w:fill="ffffff"/>
          <w:lang w:val="en-US" w:eastAsia="zh-CN"/>
        </w:rPr>
        <w:t xml:space="preserve">、</w:t>
      </w:r>
      <w:r>
        <w:rPr>
          <w:rFonts w:hint="eastAsia" w:ascii="宋体" w:hAnsi="宋体" w:eastAsia="宋体" w:cs="宋体"/>
          <w:color w:val="000000"/>
          <w:sz w:val="24"/>
          <w:szCs w:val="24"/>
          <w:highlight w:val="none"/>
        </w:rPr>
        <w:t xml:space="preserve">江苏政府采购网</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val="en-US" w:eastAsia="zh-CN"/>
        </w:rPr>
        <w:t xml:space="preserve">盐城市政府采购网</w:t>
      </w:r>
      <w:r>
        <w:rPr>
          <w:rFonts w:hint="eastAsia" w:ascii="宋体" w:hAnsi="宋体" w:eastAsia="宋体" w:cs="宋体"/>
          <w:color w:val="000000"/>
          <w:sz w:val="24"/>
          <w:szCs w:val="24"/>
          <w:highlight w:val="none"/>
        </w:rPr>
        <w:t xml:space="preserve">公布，补充文件将作为招标文件的组成部分，并对投标人具有约束力。</w:t>
      </w:r>
      <w:r/>
    </w:p>
    <w:p>
      <w:pPr>
        <w:pStyle w:val="856"/>
        <w:ind w:firstLine="482"/>
        <w:jc w:val="both"/>
        <w:keepLines/>
        <w:keepNext/>
        <w:pageBreakBefore w:val="0"/>
        <w:spacing w:beforeAutospacing="0" w:afterAutospacing="0" w:line="460" w:lineRule="exact"/>
        <w:widowControl w:val="off"/>
        <w:rPr>
          <w:rFonts w:hint="eastAsia" w:ascii="宋体" w:hAnsi="宋体" w:eastAsia="宋体" w:cs="宋体"/>
          <w:sz w:val="24"/>
          <w:szCs w:val="24"/>
          <w:highlight w:val="none"/>
        </w:rPr>
      </w:pPr>
      <w:r/>
      <w:bookmarkStart w:id="74" w:name="_Toc16938529"/>
      <w:r/>
      <w:bookmarkStart w:id="75" w:name="_Toc462564072"/>
      <w:r/>
      <w:bookmarkStart w:id="76" w:name="_Toc20823285"/>
      <w:r/>
      <w:bookmarkStart w:id="77" w:name="_Toc513029213"/>
      <w:r/>
      <w:bookmarkStart w:id="78" w:name="_Toc120614216"/>
      <w:r>
        <w:rPr>
          <w:rFonts w:hint="eastAsia" w:ascii="宋体" w:hAnsi="宋体" w:eastAsia="宋体" w:cs="宋体"/>
          <w:b/>
          <w:color w:val="000000"/>
          <w:sz w:val="24"/>
          <w:szCs w:val="24"/>
          <w:highlight w:val="none"/>
        </w:rPr>
        <w:t xml:space="preserve">三、投标文件的编制</w:t>
      </w:r>
      <w:bookmarkEnd w:id="74"/>
      <w:r/>
      <w:bookmarkEnd w:id="75"/>
      <w:r/>
      <w:bookmarkEnd w:id="76"/>
      <w:r/>
      <w:bookmarkEnd w:id="77"/>
      <w:r/>
      <w:bookmarkEnd w:id="78"/>
      <w:r/>
      <w:r/>
    </w:p>
    <w:p>
      <w:pPr>
        <w:pStyle w:val="856"/>
        <w:ind w:firstLine="480"/>
        <w:jc w:val="both"/>
        <w:keepLines/>
        <w:keepNext/>
        <w:pageBreakBefore w:val="0"/>
        <w:spacing w:beforeAutospacing="0" w:afterAutospacing="0" w:line="460" w:lineRule="exact"/>
        <w:widowControl w:val="off"/>
        <w:rPr>
          <w:rFonts w:hint="eastAsia" w:ascii="宋体" w:hAnsi="宋体" w:eastAsia="宋体" w:cs="宋体"/>
          <w:sz w:val="24"/>
          <w:szCs w:val="24"/>
          <w:highlight w:val="none"/>
        </w:rPr>
      </w:pPr>
      <w:r/>
      <w:bookmarkStart w:id="79" w:name="_Toc20823286"/>
      <w:r/>
      <w:bookmarkStart w:id="80" w:name="_Toc16938530"/>
      <w:r/>
      <w:bookmarkStart w:id="81" w:name="_Toc513029214"/>
      <w:r/>
      <w:bookmarkStart w:id="82" w:name="_Toc462564073"/>
      <w:r>
        <w:rPr>
          <w:rFonts w:hint="eastAsia" w:ascii="宋体" w:hAnsi="宋体" w:eastAsia="宋体" w:cs="宋体"/>
          <w:color w:val="000000"/>
          <w:sz w:val="24"/>
          <w:szCs w:val="24"/>
          <w:highlight w:val="none"/>
        </w:rPr>
        <w:t xml:space="preserve">9、投标文件的语言及度量衡单位</w:t>
      </w:r>
      <w:bookmarkEnd w:id="79"/>
      <w:r/>
      <w:bookmarkEnd w:id="80"/>
      <w:r/>
      <w:bookmarkEnd w:id="81"/>
      <w:r/>
      <w:bookmarkEnd w:id="82"/>
      <w:r/>
      <w:r/>
    </w:p>
    <w:p>
      <w:pPr>
        <w:pStyle w:val="856"/>
        <w:ind w:firstLine="480"/>
        <w:jc w:val="both"/>
        <w:pageBreakBefore w:val="0"/>
        <w:spacing w:beforeAutospacing="0" w:afterAutospacing="0" w:line="460" w:lineRule="exact"/>
        <w:widowControl w:val="off"/>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9.1 投标人提交的投标文件以及投标人与</w:t>
      </w:r>
      <w:r>
        <w:rPr>
          <w:rFonts w:hint="eastAsia" w:ascii="宋体" w:hAnsi="宋体" w:eastAsia="宋体" w:cs="宋体"/>
          <w:color w:val="000000"/>
          <w:sz w:val="24"/>
          <w:szCs w:val="24"/>
          <w:highlight w:val="none"/>
          <w:lang w:eastAsia="zh-CN"/>
        </w:rPr>
        <w:t xml:space="preserve">采购代理机构</w:t>
      </w:r>
      <w:r>
        <w:rPr>
          <w:rFonts w:hint="eastAsia" w:ascii="宋体" w:hAnsi="宋体" w:eastAsia="宋体" w:cs="宋体"/>
          <w:color w:val="000000"/>
          <w:sz w:val="24"/>
          <w:szCs w:val="24"/>
          <w:highlight w:val="none"/>
        </w:rPr>
        <w:t xml:space="preserve">就有关投标的所有来往通知、函件和文件均应使用</w:t>
      </w:r>
      <w:r>
        <w:rPr>
          <w:rFonts w:hint="eastAsia" w:ascii="宋体" w:hAnsi="宋体" w:eastAsia="宋体" w:cs="宋体"/>
          <w:b/>
          <w:color w:val="000000"/>
          <w:sz w:val="24"/>
          <w:szCs w:val="24"/>
          <w:highlight w:val="none"/>
        </w:rPr>
        <w:t xml:space="preserve">简体中文</w:t>
      </w:r>
      <w:r>
        <w:rPr>
          <w:rFonts w:hint="eastAsia" w:ascii="宋体" w:hAnsi="宋体" w:eastAsia="宋体" w:cs="宋体"/>
          <w:color w:val="000000"/>
          <w:sz w:val="24"/>
          <w:szCs w:val="24"/>
          <w:highlight w:val="none"/>
        </w:rPr>
        <w:t xml:space="preserve">。</w:t>
      </w:r>
      <w:r/>
    </w:p>
    <w:p>
      <w:pPr>
        <w:pStyle w:val="856"/>
        <w:ind w:firstLine="480"/>
        <w:jc w:val="both"/>
        <w:pageBreakBefore w:val="0"/>
        <w:spacing w:beforeAutospacing="0" w:afterAutospacing="0" w:line="460" w:lineRule="exact"/>
        <w:widowControl w:val="off"/>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9.2 除技术性能另有规定外，投标文件所使用的度量衡单位，均须采用国家法定计量单位。</w:t>
      </w:r>
      <w:r/>
    </w:p>
    <w:p>
      <w:pPr>
        <w:pStyle w:val="856"/>
        <w:ind w:firstLine="480"/>
        <w:jc w:val="both"/>
        <w:keepLines/>
        <w:keepNext/>
        <w:pageBreakBefore w:val="0"/>
        <w:spacing w:beforeAutospacing="0" w:afterAutospacing="0" w:line="460" w:lineRule="exact"/>
        <w:widowControl w:val="off"/>
        <w:rPr>
          <w:rFonts w:hint="eastAsia" w:ascii="宋体" w:hAnsi="宋体" w:eastAsia="宋体" w:cs="宋体"/>
          <w:sz w:val="24"/>
          <w:szCs w:val="24"/>
          <w:highlight w:val="none"/>
        </w:rPr>
      </w:pPr>
      <w:r/>
      <w:bookmarkStart w:id="83" w:name="_Toc20823287"/>
      <w:r/>
      <w:bookmarkStart w:id="84" w:name="_Toc462564074"/>
      <w:r/>
      <w:bookmarkStart w:id="85" w:name="_Toc16938531"/>
      <w:r/>
      <w:bookmarkStart w:id="86" w:name="_Toc513029215"/>
      <w:r>
        <w:rPr>
          <w:rFonts w:hint="eastAsia" w:ascii="宋体" w:hAnsi="宋体" w:eastAsia="宋体" w:cs="宋体"/>
          <w:color w:val="000000"/>
          <w:sz w:val="24"/>
          <w:szCs w:val="24"/>
          <w:highlight w:val="none"/>
        </w:rPr>
        <w:t xml:space="preserve">10、投标文件构成</w:t>
      </w:r>
      <w:bookmarkEnd w:id="83"/>
      <w:r/>
      <w:bookmarkEnd w:id="84"/>
      <w:r/>
      <w:bookmarkEnd w:id="85"/>
      <w:r/>
      <w:bookmarkEnd w:id="86"/>
      <w:r/>
      <w:r/>
    </w:p>
    <w:p>
      <w:pPr>
        <w:pStyle w:val="856"/>
        <w:ind w:firstLine="480"/>
        <w:jc w:val="both"/>
        <w:pageBreakBefore w:val="0"/>
        <w:spacing w:beforeAutospacing="0" w:afterAutospacing="0" w:line="460" w:lineRule="exact"/>
        <w:widowControl w:val="off"/>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10.1 投标人编写的投标文件应包括资格证明文件、符合性证明文件、投标分项报价表、技术要求响应及偏离表、商务要求响应及偏离表、其他证明文件、投标函、开标一览表等部分。</w:t>
      </w:r>
      <w:r/>
    </w:p>
    <w:p>
      <w:pPr>
        <w:pStyle w:val="856"/>
        <w:ind w:firstLine="480"/>
        <w:jc w:val="both"/>
        <w:pageBreakBefore w:val="0"/>
        <w:spacing w:beforeAutospacing="0" w:afterAutospacing="0" w:line="460" w:lineRule="exact"/>
        <w:widowControl w:val="off"/>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10.2 如标书制作工具中格式和内容与</w:t>
      </w:r>
      <w:r>
        <w:rPr>
          <w:rFonts w:hint="eastAsia" w:ascii="宋体" w:hAnsi="宋体" w:eastAsia="宋体" w:cs="宋体"/>
          <w:i w:val="0"/>
          <w:iCs w:val="0"/>
          <w:caps w:val="0"/>
          <w:color w:val="333333"/>
          <w:spacing w:val="0"/>
          <w:sz w:val="24"/>
          <w:szCs w:val="24"/>
          <w:highlight w:val="none"/>
          <w:shd w:val="clear" w:color="auto" w:fill="ffffff"/>
          <w:lang w:val="en-US" w:eastAsia="zh-CN"/>
        </w:rPr>
        <w:t xml:space="preserve">“</w:t>
      </w:r>
      <w:r>
        <w:rPr>
          <w:rFonts w:hint="eastAsia" w:ascii="宋体" w:hAnsi="宋体" w:eastAsia="宋体" w:cs="宋体"/>
          <w:color w:val="000000"/>
          <w:sz w:val="24"/>
          <w:szCs w:val="24"/>
          <w:highlight w:val="none"/>
          <w:lang w:val="en-US" w:eastAsia="zh-CN" w:bidi="ar-SA"/>
        </w:rPr>
        <w:t xml:space="preserve">中国政府采购网</w:t>
      </w:r>
      <w:r>
        <w:rPr>
          <w:rFonts w:hint="eastAsia" w:ascii="宋体" w:hAnsi="宋体" w:eastAsia="宋体" w:cs="宋体"/>
          <w:i w:val="0"/>
          <w:iCs w:val="0"/>
          <w:caps w:val="0"/>
          <w:color w:val="333333"/>
          <w:spacing w:val="0"/>
          <w:sz w:val="24"/>
          <w:szCs w:val="24"/>
          <w:highlight w:val="none"/>
          <w:shd w:val="clear" w:color="auto" w:fill="ffffff"/>
          <w:lang w:val="en-US" w:eastAsia="zh-CN"/>
        </w:rPr>
        <w:t xml:space="preserve">”、</w:t>
      </w:r>
      <w:r>
        <w:rPr>
          <w:rFonts w:hint="eastAsia" w:ascii="宋体" w:hAnsi="宋体" w:eastAsia="宋体" w:cs="宋体"/>
          <w:color w:val="000000"/>
          <w:sz w:val="24"/>
          <w:szCs w:val="24"/>
          <w:highlight w:val="none"/>
        </w:rPr>
        <w:t xml:space="preserve">“江苏政府采购网”</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lang w:val="en-US" w:eastAsia="zh-CN"/>
        </w:rPr>
        <w:t xml:space="preserve">盐城市政府采购网</w:t>
      </w:r>
      <w:r>
        <w:rPr>
          <w:rFonts w:hint="eastAsia" w:ascii="宋体" w:hAnsi="宋体" w:eastAsia="宋体" w:cs="宋体"/>
          <w:i w:val="0"/>
          <w:iCs w:val="0"/>
          <w:caps w:val="0"/>
          <w:color w:val="333333"/>
          <w:spacing w:val="0"/>
          <w:sz w:val="24"/>
          <w:szCs w:val="24"/>
          <w:highlight w:val="none"/>
          <w:shd w:val="clear" w:color="auto" w:fill="ffffff"/>
          <w:lang w:val="en-US" w:eastAsia="zh-CN"/>
        </w:rPr>
        <w:t xml:space="preserve">”</w:t>
      </w:r>
      <w:r>
        <w:rPr>
          <w:rFonts w:hint="eastAsia" w:ascii="宋体" w:hAnsi="宋体" w:eastAsia="宋体" w:cs="宋体"/>
          <w:color w:val="000000"/>
          <w:sz w:val="24"/>
          <w:szCs w:val="24"/>
          <w:highlight w:val="none"/>
        </w:rPr>
        <w:t xml:space="preserve">发布的招标文件不一致，请以</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val="en-US" w:eastAsia="zh-CN" w:bidi="ar-SA"/>
        </w:rPr>
        <w:t xml:space="preserve">中国政府采购网</w:t>
      </w:r>
      <w:r>
        <w:rPr>
          <w:rFonts w:hint="eastAsia" w:ascii="宋体" w:hAnsi="宋体" w:eastAsia="宋体" w:cs="宋体"/>
          <w:i w:val="0"/>
          <w:iCs w:val="0"/>
          <w:caps w:val="0"/>
          <w:color w:val="333333"/>
          <w:spacing w:val="0"/>
          <w:sz w:val="24"/>
          <w:szCs w:val="24"/>
          <w:highlight w:val="none"/>
          <w:shd w:val="clear" w:color="auto" w:fill="ffffff"/>
          <w:lang w:val="en-US" w:eastAsia="zh-CN"/>
        </w:rPr>
        <w:t xml:space="preserve">”、</w:t>
      </w:r>
      <w:r>
        <w:rPr>
          <w:rFonts w:hint="eastAsia" w:ascii="宋体" w:hAnsi="宋体" w:eastAsia="宋体" w:cs="宋体"/>
          <w:color w:val="000000"/>
          <w:sz w:val="24"/>
          <w:szCs w:val="24"/>
          <w:highlight w:val="none"/>
        </w:rPr>
        <w:t xml:space="preserve">“江苏政府采购网”</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lang w:val="en-US" w:eastAsia="zh-CN"/>
        </w:rPr>
        <w:t xml:space="preserve">盐城市政府采购网</w:t>
      </w:r>
      <w:r>
        <w:rPr>
          <w:rFonts w:hint="eastAsia" w:ascii="宋体" w:hAnsi="宋体" w:eastAsia="宋体" w:cs="宋体"/>
          <w:i w:val="0"/>
          <w:iCs w:val="0"/>
          <w:caps w:val="0"/>
          <w:color w:val="333333"/>
          <w:spacing w:val="0"/>
          <w:sz w:val="24"/>
          <w:szCs w:val="24"/>
          <w:highlight w:val="none"/>
          <w:shd w:val="clear" w:color="auto" w:fill="ffffff"/>
          <w:lang w:val="en-US" w:eastAsia="zh-CN"/>
        </w:rPr>
        <w:t xml:space="preserve">”</w:t>
      </w:r>
      <w:r>
        <w:rPr>
          <w:rFonts w:hint="eastAsia" w:ascii="宋体" w:hAnsi="宋体" w:eastAsia="宋体" w:cs="宋体"/>
          <w:color w:val="000000"/>
          <w:sz w:val="24"/>
          <w:szCs w:val="24"/>
          <w:highlight w:val="none"/>
        </w:rPr>
        <w:t xml:space="preserve">发布的招标文件为准。</w:t>
      </w:r>
      <w:r/>
    </w:p>
    <w:p>
      <w:pPr>
        <w:pStyle w:val="856"/>
        <w:ind w:firstLine="480"/>
        <w:jc w:val="both"/>
        <w:keepLines/>
        <w:keepNext/>
        <w:pageBreakBefore w:val="0"/>
        <w:spacing w:beforeAutospacing="0" w:afterAutospacing="0" w:line="460" w:lineRule="exact"/>
        <w:widowControl w:val="off"/>
        <w:rPr>
          <w:rFonts w:hint="eastAsia" w:ascii="宋体" w:hAnsi="宋体" w:eastAsia="宋体" w:cs="宋体"/>
          <w:sz w:val="24"/>
          <w:szCs w:val="24"/>
          <w:highlight w:val="none"/>
        </w:rPr>
      </w:pPr>
      <w:r/>
      <w:bookmarkStart w:id="87" w:name="_Toc513029219"/>
      <w:r/>
      <w:bookmarkStart w:id="88" w:name="_Toc49090507"/>
      <w:r/>
      <w:bookmarkStart w:id="89" w:name="_Toc513029216"/>
      <w:r/>
      <w:bookmarkStart w:id="90" w:name="_Toc49090509"/>
      <w:r/>
      <w:bookmarkStart w:id="91" w:name="_Toc14577354"/>
      <w:r/>
      <w:bookmarkStart w:id="92" w:name="_Toc49090508"/>
      <w:r/>
      <w:bookmarkStart w:id="93" w:name="_Toc14577357"/>
      <w:r/>
      <w:bookmarkStart w:id="94" w:name="_Toc14577355"/>
      <w:r/>
      <w:bookmarkStart w:id="95" w:name="_Hlt26668975"/>
      <w:r/>
      <w:bookmarkStart w:id="96" w:name="_Hlt26954838"/>
      <w:r/>
      <w:bookmarkStart w:id="97" w:name="_Hlt26670360"/>
      <w:r>
        <w:rPr>
          <w:rFonts w:hint="eastAsia" w:ascii="宋体" w:hAnsi="宋体" w:eastAsia="宋体" w:cs="宋体"/>
          <w:color w:val="000000"/>
          <w:sz w:val="24"/>
          <w:szCs w:val="24"/>
          <w:highlight w:val="none"/>
        </w:rPr>
        <w:t xml:space="preserve">11、证明投标人及投标标的符合招标文件规定的文件</w:t>
      </w:r>
      <w:bookmarkEnd w:id="87"/>
      <w:r/>
      <w:bookmarkEnd w:id="88"/>
      <w:r/>
      <w:bookmarkEnd w:id="89"/>
      <w:r/>
      <w:bookmarkEnd w:id="90"/>
      <w:r/>
      <w:bookmarkEnd w:id="91"/>
      <w:r/>
      <w:bookmarkEnd w:id="92"/>
      <w:r/>
      <w:bookmarkEnd w:id="93"/>
      <w:r/>
      <w:bookmarkEnd w:id="94"/>
      <w:r/>
      <w:r/>
    </w:p>
    <w:p>
      <w:pPr>
        <w:pStyle w:val="856"/>
        <w:ind w:firstLine="480"/>
        <w:jc w:val="both"/>
        <w:pageBreakBefore w:val="0"/>
        <w:spacing w:beforeAutospacing="0" w:afterAutospacing="0" w:line="460" w:lineRule="exact"/>
        <w:widowControl w:val="off"/>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11.1 投标人应按照招标文件要求提交证明文件，证明其及投标标的符合招标文件规定。</w:t>
      </w:r>
      <w:r/>
    </w:p>
    <w:p>
      <w:pPr>
        <w:pStyle w:val="856"/>
        <w:ind w:firstLine="480"/>
        <w:jc w:val="both"/>
        <w:pageBreakBefore w:val="0"/>
        <w:spacing w:beforeAutospacing="0" w:afterAutospacing="0" w:line="460" w:lineRule="exact"/>
        <w:widowControl w:val="off"/>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11.2</w:t>
      </w:r>
      <w:r>
        <w:rPr>
          <w:rFonts w:hint="eastAsia" w:ascii="宋体" w:hAnsi="宋体" w:eastAsia="宋体" w:cs="宋体"/>
          <w:color w:val="000000"/>
          <w:sz w:val="24"/>
          <w:szCs w:val="24"/>
          <w:highlight w:val="none"/>
          <w:lang w:val="en-US" w:eastAsia="zh-CN"/>
        </w:rPr>
        <w:t xml:space="preserve"> </w:t>
      </w:r>
      <w:r>
        <w:rPr>
          <w:rFonts w:hint="eastAsia" w:ascii="宋体" w:hAnsi="宋体" w:eastAsia="宋体" w:cs="宋体"/>
          <w:color w:val="000000"/>
          <w:sz w:val="24"/>
          <w:szCs w:val="24"/>
          <w:highlight w:val="none"/>
        </w:rPr>
        <w:t xml:space="preserve">招标文件对证明文件无明确形式要求的，证明文件可以以文字资料、图纸和数据等形式提交。</w:t>
      </w:r>
      <w:r/>
    </w:p>
    <w:p>
      <w:pPr>
        <w:pStyle w:val="856"/>
        <w:ind w:firstLine="480"/>
        <w:jc w:val="both"/>
        <w:keepLines/>
        <w:keepNext/>
        <w:pageBreakBefore w:val="0"/>
        <w:spacing w:beforeAutospacing="0" w:afterAutospacing="0" w:line="460" w:lineRule="exact"/>
        <w:widowControl w:val="off"/>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12、投标分项报价表</w:t>
      </w:r>
      <w:r/>
    </w:p>
    <w:p>
      <w:pPr>
        <w:pStyle w:val="856"/>
        <w:ind w:firstLine="480"/>
        <w:jc w:val="both"/>
        <w:pageBreakBefore w:val="0"/>
        <w:spacing w:beforeAutospacing="0" w:afterAutospacing="0" w:line="460" w:lineRule="exact"/>
        <w:widowControl w:val="off"/>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12.1 投标人应按照招标文件规定格式填报投标分项报价表。</w:t>
      </w:r>
      <w:r/>
    </w:p>
    <w:p>
      <w:pPr>
        <w:pStyle w:val="856"/>
        <w:ind w:firstLine="480"/>
        <w:jc w:val="both"/>
        <w:pageBreakBefore w:val="0"/>
        <w:spacing w:beforeAutospacing="0" w:afterAutospacing="0" w:line="460" w:lineRule="exact"/>
        <w:widowControl w:val="off"/>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12.2</w:t>
      </w:r>
      <w:r>
        <w:rPr>
          <w:rFonts w:hint="eastAsia" w:ascii="宋体" w:hAnsi="宋体" w:eastAsia="宋体" w:cs="宋体"/>
          <w:color w:val="000000"/>
          <w:sz w:val="24"/>
          <w:szCs w:val="24"/>
          <w:highlight w:val="none"/>
          <w:lang w:val="en-US" w:eastAsia="zh-CN"/>
        </w:rPr>
        <w:t xml:space="preserve"> </w:t>
      </w:r>
      <w:r>
        <w:rPr>
          <w:rFonts w:hint="eastAsia" w:ascii="宋体" w:hAnsi="宋体" w:eastAsia="宋体" w:cs="宋体"/>
          <w:color w:val="000000"/>
          <w:sz w:val="24"/>
          <w:szCs w:val="24"/>
          <w:highlight w:val="none"/>
        </w:rPr>
        <w:t xml:space="preserve">投标货币。投标文件中的单价和总价无特殊规定的采用人民币报价，以元为单位标注。招标文件中另有规定的按规定执行。</w:t>
      </w:r>
      <w:r/>
    </w:p>
    <w:p>
      <w:pPr>
        <w:pStyle w:val="856"/>
        <w:ind w:firstLine="480"/>
        <w:jc w:val="both"/>
        <w:pageBreakBefore w:val="0"/>
        <w:spacing w:beforeAutospacing="0" w:afterAutospacing="0" w:line="460" w:lineRule="exact"/>
        <w:widowControl w:val="off"/>
        <w:rPr>
          <w:rFonts w:hint="eastAsia" w:ascii="宋体" w:hAnsi="宋体" w:eastAsia="宋体" w:cs="宋体"/>
          <w:sz w:val="24"/>
          <w:szCs w:val="24"/>
          <w:highlight w:val="none"/>
        </w:rPr>
      </w:pPr>
      <w:r/>
      <w:bookmarkStart w:id="98" w:name="_Hlt26670486"/>
      <w:r/>
      <w:bookmarkStart w:id="99" w:name="_Hlt26954731"/>
      <w:r/>
      <w:bookmarkStart w:id="100" w:name="_Hlt26670482"/>
      <w:r/>
      <w:bookmarkStart w:id="101" w:name="_Hlt26954848"/>
      <w:r/>
      <w:bookmarkStart w:id="102" w:name="_Hlt26954846"/>
      <w:r>
        <w:rPr>
          <w:rFonts w:hint="eastAsia" w:ascii="宋体" w:hAnsi="宋体" w:eastAsia="宋体" w:cs="宋体"/>
          <w:sz w:val="24"/>
          <w:szCs w:val="24"/>
          <w:highlight w:val="none"/>
        </w:rPr>
        <w:t xml:space="preserve">13、技术要求响应及偏离表、商务要求响应及偏离表</w:t>
      </w:r>
      <w:r/>
    </w:p>
    <w:p>
      <w:pPr>
        <w:pStyle w:val="856"/>
        <w:ind w:firstLine="480"/>
        <w:jc w:val="both"/>
        <w:pageBreakBefore w:val="0"/>
        <w:spacing w:beforeAutospacing="0" w:afterAutospacing="0" w:line="46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13.1投标人需对招标文件中的技术要求与商务要求逐项作出响应或偏离，并说明原因。</w:t>
      </w:r>
      <w:r/>
    </w:p>
    <w:p>
      <w:pPr>
        <w:pStyle w:val="856"/>
        <w:ind w:firstLine="480"/>
        <w:jc w:val="both"/>
        <w:pageBreakBefore w:val="0"/>
        <w:spacing w:beforeAutospacing="0" w:afterAutospacing="0" w:line="46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13.2 投标人可在投标文件中提供认为需要的其他技术文件或说明。</w:t>
      </w:r>
      <w:r/>
    </w:p>
    <w:p>
      <w:pPr>
        <w:pStyle w:val="856"/>
        <w:ind w:firstLine="480"/>
        <w:jc w:val="both"/>
        <w:pageBreakBefore w:val="0"/>
        <w:spacing w:beforeAutospacing="0" w:afterAutospacing="0" w:line="46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14、服务承诺、培训计划、人员安排及其他</w:t>
      </w:r>
      <w:r/>
    </w:p>
    <w:p>
      <w:pPr>
        <w:pStyle w:val="856"/>
        <w:ind w:firstLine="480"/>
        <w:jc w:val="both"/>
        <w:pageBreakBefore w:val="0"/>
        <w:spacing w:beforeAutospacing="0" w:afterAutospacing="0" w:line="46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14.1 投标人需根据招标文件要求提供有关售后服务的管理制度，售后服务机构的分布情况，售后服务人员的数量、素质、技术水平及售后服务的反应能力等。</w:t>
      </w:r>
      <w:r/>
    </w:p>
    <w:p>
      <w:pPr>
        <w:pStyle w:val="856"/>
        <w:ind w:firstLine="480"/>
        <w:jc w:val="both"/>
        <w:pageBreakBefore w:val="0"/>
        <w:spacing w:beforeAutospacing="0" w:afterAutospacing="0" w:line="46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14.2 投标人需根据招标文件要求提供培训计划。</w:t>
      </w:r>
      <w:r/>
    </w:p>
    <w:p>
      <w:pPr>
        <w:pStyle w:val="856"/>
        <w:ind w:firstLine="480"/>
        <w:jc w:val="both"/>
        <w:pageBreakBefore w:val="0"/>
        <w:spacing w:beforeAutospacing="0" w:afterAutospacing="0" w:line="460" w:lineRule="exact"/>
        <w:widowControl w:val="off"/>
        <w:rPr>
          <w:rFonts w:hint="eastAsia" w:ascii="宋体" w:hAnsi="宋体" w:eastAsia="宋体" w:cs="宋体"/>
          <w:sz w:val="24"/>
          <w:szCs w:val="24"/>
          <w:highlight w:val="yellow"/>
        </w:rPr>
      </w:pPr>
      <w:r>
        <w:rPr>
          <w:rFonts w:hint="eastAsia" w:ascii="宋体" w:hAnsi="宋体" w:eastAsia="宋体" w:cs="宋体"/>
          <w:sz w:val="24"/>
          <w:szCs w:val="24"/>
          <w:highlight w:val="none"/>
        </w:rPr>
        <w:t xml:space="preserve">14.3 投标人需根据招标文件要求提供所投标的的主要组成部分、功能设计、实现思路及关键技术等。</w:t>
      </w:r>
      <w:r/>
    </w:p>
    <w:p>
      <w:pPr>
        <w:pStyle w:val="856"/>
        <w:ind w:firstLine="480"/>
        <w:jc w:val="both"/>
        <w:keepLines/>
        <w:keepNext/>
        <w:pageBreakBefore w:val="0"/>
        <w:spacing w:beforeAutospacing="0" w:afterAutospacing="0" w:line="460" w:lineRule="exact"/>
        <w:widowControl w:val="off"/>
        <w:rPr>
          <w:rFonts w:hint="eastAsia" w:ascii="宋体" w:hAnsi="宋体" w:eastAsia="宋体" w:cs="宋体"/>
          <w:sz w:val="24"/>
          <w:szCs w:val="24"/>
          <w:highlight w:val="none"/>
        </w:rPr>
      </w:pPr>
      <w:r/>
      <w:bookmarkStart w:id="103" w:name="_Toc14577359"/>
      <w:r/>
      <w:bookmarkStart w:id="104" w:name="_Toc49090510"/>
      <w:r>
        <w:rPr>
          <w:rFonts w:hint="eastAsia" w:ascii="宋体" w:hAnsi="宋体" w:eastAsia="宋体" w:cs="宋体"/>
          <w:color w:val="000000"/>
          <w:sz w:val="24"/>
          <w:szCs w:val="24"/>
          <w:highlight w:val="none"/>
        </w:rPr>
        <w:t xml:space="preserve">15、投标函和开标一览表</w:t>
      </w:r>
      <w:bookmarkEnd w:id="103"/>
      <w:r/>
      <w:bookmarkEnd w:id="104"/>
      <w:r/>
      <w:r/>
    </w:p>
    <w:p>
      <w:pPr>
        <w:pStyle w:val="856"/>
        <w:ind w:firstLine="480"/>
        <w:jc w:val="both"/>
        <w:pageBreakBefore w:val="0"/>
        <w:spacing w:beforeAutospacing="0" w:afterAutospacing="0" w:line="460" w:lineRule="exact"/>
        <w:widowControl w:val="off"/>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15.1 投标人应按照招标文件中提供的格式完整、正确填写投标函、开标一览表。</w:t>
      </w:r>
      <w:r/>
    </w:p>
    <w:p>
      <w:pPr>
        <w:pStyle w:val="856"/>
        <w:ind w:firstLine="480"/>
        <w:jc w:val="both"/>
        <w:pageBreakBefore w:val="0"/>
        <w:spacing w:beforeAutospacing="0" w:afterAutospacing="0" w:line="460" w:lineRule="exact"/>
        <w:widowControl w:val="off"/>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15.2 对于采用货币报价的项目，开标一览表中的投标总报价应与投标分项报价表中的投标总报价一致，如不一致，不作为无效投标处理，但评标时按开标一览表中价格为准。</w:t>
      </w:r>
      <w:r/>
    </w:p>
    <w:p>
      <w:pPr>
        <w:pStyle w:val="856"/>
        <w:ind w:firstLine="480"/>
        <w:jc w:val="both"/>
        <w:keepLines/>
        <w:keepNext/>
        <w:pageBreakBefore w:val="0"/>
        <w:spacing w:beforeAutospacing="0" w:afterAutospacing="0" w:line="460" w:lineRule="exact"/>
        <w:widowControl w:val="off"/>
        <w:rPr>
          <w:rFonts w:hint="eastAsia" w:ascii="宋体" w:hAnsi="宋体" w:eastAsia="宋体" w:cs="宋体"/>
          <w:sz w:val="24"/>
          <w:szCs w:val="24"/>
          <w:highlight w:val="none"/>
        </w:rPr>
      </w:pPr>
      <w:r/>
      <w:bookmarkStart w:id="105" w:name="_Toc49090511"/>
      <w:r/>
      <w:bookmarkStart w:id="106" w:name="_Toc14577360"/>
      <w:r>
        <w:rPr>
          <w:rFonts w:hint="eastAsia" w:ascii="宋体" w:hAnsi="宋体" w:eastAsia="宋体" w:cs="宋体"/>
          <w:color w:val="000000"/>
          <w:sz w:val="24"/>
          <w:szCs w:val="24"/>
          <w:highlight w:val="none"/>
        </w:rPr>
        <w:t xml:space="preserve">16、投标有效期</w:t>
      </w:r>
      <w:bookmarkEnd w:id="105"/>
      <w:r/>
      <w:bookmarkEnd w:id="106"/>
      <w:r/>
      <w:r/>
    </w:p>
    <w:p>
      <w:pPr>
        <w:pStyle w:val="856"/>
        <w:ind w:firstLine="480"/>
        <w:jc w:val="both"/>
        <w:pageBreakBefore w:val="0"/>
        <w:spacing w:beforeAutospacing="0" w:afterAutospacing="0" w:line="460" w:lineRule="exact"/>
        <w:widowControl w:val="off"/>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16.1</w:t>
      </w:r>
      <w:r>
        <w:rPr>
          <w:rFonts w:hint="eastAsia" w:ascii="宋体" w:hAnsi="宋体" w:eastAsia="宋体" w:cs="宋体"/>
          <w:color w:val="000000"/>
          <w:sz w:val="24"/>
          <w:szCs w:val="24"/>
          <w:highlight w:val="none"/>
          <w:lang w:val="en-US" w:eastAsia="zh-CN"/>
        </w:rPr>
        <w:t xml:space="preserve"> </w:t>
      </w:r>
      <w:r>
        <w:rPr>
          <w:rFonts w:hint="eastAsia" w:ascii="宋体" w:hAnsi="宋体" w:eastAsia="宋体" w:cs="宋体"/>
          <w:color w:val="000000"/>
          <w:sz w:val="24"/>
          <w:szCs w:val="24"/>
          <w:highlight w:val="none"/>
        </w:rPr>
        <w:t xml:space="preserve">投标有效期为</w:t>
      </w:r>
      <w:r>
        <w:rPr>
          <w:rFonts w:hint="eastAsia" w:ascii="宋体" w:hAnsi="宋体" w:eastAsia="宋体" w:cs="宋体"/>
          <w:color w:val="000000"/>
          <w:sz w:val="24"/>
          <w:szCs w:val="24"/>
          <w:highlight w:val="none"/>
          <w:lang w:eastAsia="zh-CN"/>
        </w:rPr>
        <w:t xml:space="preserve">采购代理机构</w:t>
      </w:r>
      <w:r>
        <w:rPr>
          <w:rFonts w:hint="eastAsia" w:ascii="宋体" w:hAnsi="宋体" w:eastAsia="宋体" w:cs="宋体"/>
          <w:color w:val="000000"/>
          <w:sz w:val="24"/>
          <w:szCs w:val="24"/>
          <w:highlight w:val="none"/>
        </w:rPr>
        <w:t xml:space="preserve">规定的开标之日后</w:t>
      </w:r>
      <w:r>
        <w:rPr>
          <w:rFonts w:hint="eastAsia" w:ascii="宋体" w:hAnsi="宋体" w:eastAsia="宋体" w:cs="宋体"/>
          <w:b/>
          <w:color w:val="auto"/>
          <w:sz w:val="24"/>
          <w:szCs w:val="24"/>
          <w:highlight w:val="none"/>
          <w:u w:val="single"/>
          <w:lang w:val="en-US" w:eastAsia="zh-CN"/>
        </w:rPr>
        <w:t xml:space="preserve">九</w:t>
      </w:r>
      <w:r>
        <w:rPr>
          <w:rFonts w:hint="eastAsia" w:ascii="宋体" w:hAnsi="宋体" w:eastAsia="宋体" w:cs="宋体"/>
          <w:b/>
          <w:color w:val="auto"/>
          <w:sz w:val="24"/>
          <w:szCs w:val="24"/>
          <w:highlight w:val="none"/>
          <w:u w:val="single"/>
        </w:rPr>
        <w:t xml:space="preserve">十（</w:t>
      </w:r>
      <w:r>
        <w:rPr>
          <w:rFonts w:hint="eastAsia" w:ascii="宋体" w:hAnsi="宋体" w:eastAsia="宋体" w:cs="宋体"/>
          <w:b/>
          <w:color w:val="auto"/>
          <w:sz w:val="24"/>
          <w:szCs w:val="24"/>
          <w:highlight w:val="none"/>
          <w:u w:val="single"/>
          <w:lang w:val="en-US" w:eastAsia="zh-CN"/>
        </w:rPr>
        <w:t xml:space="preserve">9</w:t>
      </w:r>
      <w:r>
        <w:rPr>
          <w:rFonts w:hint="eastAsia" w:ascii="宋体" w:hAnsi="宋体" w:eastAsia="宋体" w:cs="宋体"/>
          <w:b/>
          <w:color w:val="auto"/>
          <w:sz w:val="24"/>
          <w:szCs w:val="24"/>
          <w:highlight w:val="none"/>
          <w:u w:val="single"/>
        </w:rPr>
        <w:t xml:space="preserve">0）天</w:t>
      </w:r>
      <w:r>
        <w:rPr>
          <w:rFonts w:hint="eastAsia" w:ascii="宋体" w:hAnsi="宋体" w:eastAsia="宋体" w:cs="宋体"/>
          <w:color w:val="000000"/>
          <w:sz w:val="24"/>
          <w:szCs w:val="24"/>
          <w:highlight w:val="none"/>
        </w:rPr>
        <w:t xml:space="preserve">。投标有效期比规定短的将被视为未实质性响应招标文件而予以拒绝。</w:t>
      </w:r>
      <w:r/>
    </w:p>
    <w:p>
      <w:pPr>
        <w:pStyle w:val="856"/>
        <w:ind w:firstLine="480"/>
        <w:jc w:val="both"/>
        <w:keepLines/>
        <w:keepNext/>
        <w:pageBreakBefore w:val="0"/>
        <w:spacing w:beforeAutospacing="0" w:afterAutospacing="0" w:line="460" w:lineRule="exact"/>
        <w:widowControl w:val="off"/>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17、投标有效期的延长</w:t>
      </w:r>
      <w:r/>
    </w:p>
    <w:p>
      <w:pPr>
        <w:pStyle w:val="856"/>
        <w:ind w:firstLine="480"/>
        <w:jc w:val="both"/>
        <w:pageBreakBefore w:val="0"/>
        <w:spacing w:beforeAutospacing="0" w:afterAutospacing="0" w:line="460" w:lineRule="exact"/>
        <w:widowControl w:val="off"/>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17.1</w:t>
      </w:r>
      <w:r>
        <w:rPr>
          <w:rFonts w:hint="eastAsia" w:ascii="宋体" w:hAnsi="宋体" w:eastAsia="宋体" w:cs="宋体"/>
          <w:color w:val="000000"/>
          <w:sz w:val="24"/>
          <w:szCs w:val="24"/>
          <w:highlight w:val="none"/>
          <w:lang w:val="en-US" w:eastAsia="zh-CN"/>
        </w:rPr>
        <w:t xml:space="preserve"> </w:t>
      </w:r>
      <w:r>
        <w:rPr>
          <w:rFonts w:hint="eastAsia" w:ascii="宋体" w:hAnsi="宋体" w:eastAsia="宋体" w:cs="宋体"/>
          <w:color w:val="000000"/>
          <w:sz w:val="24"/>
          <w:szCs w:val="24"/>
          <w:highlight w:val="none"/>
        </w:rPr>
        <w:t xml:space="preserve">在特殊情况下，</w:t>
      </w:r>
      <w:r>
        <w:rPr>
          <w:rFonts w:hint="eastAsia" w:ascii="宋体" w:hAnsi="宋体" w:eastAsia="宋体" w:cs="宋体"/>
          <w:color w:val="000000"/>
          <w:sz w:val="24"/>
          <w:szCs w:val="24"/>
          <w:highlight w:val="none"/>
          <w:lang w:eastAsia="zh-CN"/>
        </w:rPr>
        <w:t xml:space="preserve">采购代理机构</w:t>
      </w:r>
      <w:r>
        <w:rPr>
          <w:rFonts w:hint="eastAsia" w:ascii="宋体" w:hAnsi="宋体" w:eastAsia="宋体" w:cs="宋体"/>
          <w:color w:val="000000"/>
          <w:sz w:val="24"/>
          <w:szCs w:val="24"/>
          <w:highlight w:val="none"/>
        </w:rPr>
        <w:t xml:space="preserve">于原投标有效期满之前，可向投标人提出延长投标有效期的要求。这种要求与答复均应采用书面形式。投标人可以拒绝</w:t>
      </w:r>
      <w:r>
        <w:rPr>
          <w:rFonts w:hint="eastAsia" w:ascii="宋体" w:hAnsi="宋体" w:eastAsia="宋体" w:cs="宋体"/>
          <w:color w:val="000000"/>
          <w:sz w:val="24"/>
          <w:szCs w:val="24"/>
          <w:highlight w:val="none"/>
          <w:lang w:eastAsia="zh-CN"/>
        </w:rPr>
        <w:t xml:space="preserve">采购代理机构</w:t>
      </w:r>
      <w:r>
        <w:rPr>
          <w:rFonts w:hint="eastAsia" w:ascii="宋体" w:hAnsi="宋体" w:eastAsia="宋体" w:cs="宋体"/>
          <w:color w:val="000000"/>
          <w:sz w:val="24"/>
          <w:szCs w:val="24"/>
          <w:highlight w:val="none"/>
        </w:rPr>
        <w:t xml:space="preserve">的这一要求而放弃投标，同意延长投标有效期的投标人既不能要求也不允许修改其投标文件。受投标有效期约束的所有权利与义务均延长至新的有效期。</w:t>
      </w:r>
      <w:r/>
    </w:p>
    <w:p>
      <w:pPr>
        <w:pStyle w:val="856"/>
        <w:ind w:firstLine="482"/>
        <w:jc w:val="both"/>
        <w:keepLines/>
        <w:keepNext/>
        <w:pageBreakBefore w:val="0"/>
        <w:spacing w:beforeAutospacing="0" w:afterAutospacing="0" w:line="460" w:lineRule="exact"/>
        <w:widowControl w:val="off"/>
        <w:rPr>
          <w:rFonts w:hint="eastAsia" w:ascii="宋体" w:hAnsi="宋体" w:eastAsia="宋体" w:cs="宋体"/>
          <w:sz w:val="24"/>
          <w:szCs w:val="24"/>
          <w:highlight w:val="none"/>
        </w:rPr>
      </w:pPr>
      <w:r/>
      <w:bookmarkStart w:id="107" w:name="_Toc20823296"/>
      <w:r/>
      <w:bookmarkStart w:id="108" w:name="_Toc120614217"/>
      <w:r/>
      <w:bookmarkStart w:id="109" w:name="_Toc513029224"/>
      <w:r/>
      <w:bookmarkStart w:id="110" w:name="_Toc16938540"/>
      <w:r/>
      <w:bookmarkStart w:id="111" w:name="_Hlt26954739"/>
      <w:r/>
      <w:bookmarkStart w:id="112" w:name="_Hlt26954852"/>
      <w:r>
        <w:rPr>
          <w:rFonts w:hint="eastAsia" w:ascii="宋体" w:hAnsi="宋体" w:eastAsia="宋体" w:cs="宋体"/>
          <w:b/>
          <w:color w:val="000000"/>
          <w:sz w:val="24"/>
          <w:szCs w:val="24"/>
          <w:highlight w:val="none"/>
        </w:rPr>
        <w:t xml:space="preserve">四、投标文件的递交</w:t>
      </w:r>
      <w:bookmarkEnd w:id="107"/>
      <w:r/>
      <w:bookmarkEnd w:id="108"/>
      <w:r/>
      <w:bookmarkEnd w:id="109"/>
      <w:r/>
      <w:bookmarkEnd w:id="110"/>
      <w:r/>
      <w:r/>
    </w:p>
    <w:p>
      <w:pPr>
        <w:pStyle w:val="856"/>
        <w:ind w:firstLine="480"/>
        <w:jc w:val="both"/>
        <w:keepLines/>
        <w:keepNext/>
        <w:pageBreakBefore w:val="0"/>
        <w:spacing w:beforeAutospacing="0" w:afterAutospacing="0" w:line="460" w:lineRule="exact"/>
        <w:widowControl w:val="off"/>
        <w:rPr>
          <w:rFonts w:hint="eastAsia" w:ascii="宋体" w:hAnsi="宋体" w:eastAsia="宋体" w:cs="宋体"/>
          <w:sz w:val="24"/>
          <w:szCs w:val="24"/>
          <w:highlight w:val="none"/>
        </w:rPr>
      </w:pPr>
      <w:r/>
      <w:bookmarkStart w:id="113" w:name="_Toc462564084"/>
      <w:r/>
      <w:bookmarkStart w:id="114" w:name="_Toc20823297"/>
      <w:r/>
      <w:bookmarkStart w:id="115" w:name="_Toc513029225"/>
      <w:r/>
      <w:bookmarkStart w:id="116" w:name="_Toc16938541"/>
      <w:r>
        <w:rPr>
          <w:rFonts w:hint="eastAsia" w:ascii="宋体" w:hAnsi="宋体" w:eastAsia="宋体" w:cs="宋体"/>
          <w:color w:val="000000"/>
          <w:sz w:val="24"/>
          <w:szCs w:val="24"/>
          <w:highlight w:val="none"/>
        </w:rPr>
        <w:t xml:space="preserve">18、电子投标文件</w:t>
      </w:r>
      <w:bookmarkEnd w:id="113"/>
      <w:r/>
      <w:bookmarkEnd w:id="114"/>
      <w:r/>
      <w:bookmarkEnd w:id="115"/>
      <w:r/>
      <w:bookmarkEnd w:id="116"/>
      <w:r>
        <w:rPr>
          <w:rFonts w:hint="eastAsia" w:ascii="宋体" w:hAnsi="宋体" w:eastAsia="宋体" w:cs="宋体"/>
          <w:color w:val="000000"/>
          <w:sz w:val="24"/>
          <w:szCs w:val="24"/>
          <w:highlight w:val="none"/>
        </w:rPr>
        <w:t xml:space="preserve">的递交</w:t>
      </w:r>
      <w:r/>
    </w:p>
    <w:p>
      <w:pPr>
        <w:pStyle w:val="856"/>
        <w:ind w:left="0" w:firstLine="480"/>
        <w:jc w:val="both"/>
        <w:pageBreakBefore w:val="0"/>
        <w:spacing w:beforeAutospacing="0" w:afterAutospacing="0" w:line="460" w:lineRule="exact"/>
        <w:widowControl w:val="off"/>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18.1</w:t>
      </w:r>
      <w:r>
        <w:rPr>
          <w:rFonts w:hint="eastAsia" w:ascii="宋体" w:hAnsi="宋体" w:eastAsia="宋体" w:cs="宋体"/>
          <w:color w:val="000000"/>
          <w:sz w:val="24"/>
          <w:szCs w:val="24"/>
          <w:highlight w:val="none"/>
          <w:lang w:val="en-US" w:eastAsia="zh-CN"/>
        </w:rPr>
        <w:t xml:space="preserve"> </w:t>
      </w:r>
      <w:r>
        <w:rPr>
          <w:rFonts w:hint="eastAsia" w:ascii="宋体" w:hAnsi="宋体" w:eastAsia="宋体" w:cs="宋体"/>
          <w:color w:val="000000"/>
          <w:sz w:val="24"/>
          <w:szCs w:val="24"/>
          <w:highlight w:val="none"/>
        </w:rPr>
        <w:t xml:space="preserve">投标人应当按照《操作手册》规定，在投标截止时间前制作并上传电子投标文件。</w:t>
      </w:r>
      <w:bookmarkStart w:id="117" w:name="_Toc20823298"/>
      <w:r/>
      <w:bookmarkEnd w:id="117"/>
      <w:r/>
      <w:bookmarkStart w:id="118" w:name="_Toc16938542"/>
      <w:r/>
      <w:bookmarkEnd w:id="118"/>
      <w:r/>
      <w:bookmarkStart w:id="119" w:name="_Toc513029226"/>
      <w:r/>
      <w:r/>
    </w:p>
    <w:p>
      <w:pPr>
        <w:pStyle w:val="856"/>
        <w:ind w:firstLine="480"/>
        <w:jc w:val="both"/>
        <w:keepLines/>
        <w:keepNext/>
        <w:pageBreakBefore w:val="0"/>
        <w:spacing w:beforeAutospacing="0" w:afterAutospacing="0" w:line="460" w:lineRule="exact"/>
        <w:widowControl w:val="off"/>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19、投标截止日期</w:t>
      </w:r>
      <w:r/>
    </w:p>
    <w:p>
      <w:pPr>
        <w:pStyle w:val="856"/>
        <w:ind w:firstLine="480"/>
        <w:jc w:val="both"/>
        <w:pageBreakBefore w:val="0"/>
        <w:spacing w:beforeAutospacing="0" w:afterAutospacing="0" w:line="460" w:lineRule="exact"/>
        <w:widowControl w:val="off"/>
        <w:rPr>
          <w:rFonts w:hint="eastAsia" w:ascii="宋体" w:hAnsi="宋体" w:eastAsia="宋体" w:cs="宋体"/>
          <w:sz w:val="24"/>
          <w:szCs w:val="24"/>
          <w:highlight w:val="none"/>
        </w:rPr>
      </w:pPr>
      <w:r>
        <w:rPr>
          <w:rFonts w:hint="eastAsia" w:ascii="宋体" w:hAnsi="宋体" w:eastAsia="宋体" w:cs="宋体"/>
          <w:i/>
          <w:color w:val="000000"/>
          <w:sz w:val="24"/>
          <w:szCs w:val="24"/>
          <w:highlight w:val="none"/>
          <w:u w:val="single"/>
        </w:rPr>
        <w:t xml:space="preserve">19.1 投标人上传电子投标文件的时间不得迟于招标公告中规定的投标截止时间。</w:t>
      </w:r>
      <w:r/>
    </w:p>
    <w:p>
      <w:pPr>
        <w:pStyle w:val="856"/>
        <w:ind w:firstLine="480"/>
        <w:jc w:val="both"/>
        <w:pageBreakBefore w:val="0"/>
        <w:spacing w:beforeAutospacing="0" w:afterAutospacing="0" w:line="460" w:lineRule="exact"/>
        <w:widowControl w:val="off"/>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投标人应充分考虑到网络环境、网络带宽等风险因素，如因投标人自身原因造成的电子投标文件上传不成功的按照本招标文件第二章第27.1.2条规定做无效投标处理。</w:t>
      </w:r>
      <w:r/>
    </w:p>
    <w:p>
      <w:pPr>
        <w:pStyle w:val="856"/>
        <w:ind w:firstLine="480"/>
        <w:jc w:val="both"/>
        <w:pageBreakBefore w:val="0"/>
        <w:spacing w:beforeAutospacing="0" w:afterAutospacing="0" w:line="460" w:lineRule="exact"/>
        <w:widowControl w:val="off"/>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19.2 </w:t>
      </w:r>
      <w:r>
        <w:rPr>
          <w:rFonts w:hint="eastAsia" w:ascii="宋体" w:hAnsi="宋体" w:eastAsia="宋体" w:cs="宋体"/>
          <w:color w:val="000000"/>
          <w:sz w:val="24"/>
          <w:szCs w:val="24"/>
          <w:highlight w:val="none"/>
          <w:lang w:eastAsia="zh-CN"/>
        </w:rPr>
        <w:t xml:space="preserve">采购代理机构</w:t>
      </w:r>
      <w:r>
        <w:rPr>
          <w:rFonts w:hint="eastAsia" w:ascii="宋体" w:hAnsi="宋体" w:eastAsia="宋体" w:cs="宋体"/>
          <w:color w:val="000000"/>
          <w:sz w:val="24"/>
          <w:szCs w:val="24"/>
          <w:highlight w:val="none"/>
        </w:rPr>
        <w:t xml:space="preserve">可以按照规定，通过修改招标文件酌情延长投标截止日期，在此情况下，投标人的所有权利和义务以及投标人受制的截止日期均应以延长后新的截止日期为准。</w:t>
      </w:r>
      <w:r/>
    </w:p>
    <w:p>
      <w:pPr>
        <w:pStyle w:val="856"/>
        <w:ind w:firstLine="480"/>
        <w:jc w:val="both"/>
        <w:keepLines/>
        <w:keepNext/>
        <w:pageBreakBefore w:val="0"/>
        <w:spacing w:beforeAutospacing="0" w:afterAutospacing="0" w:line="460" w:lineRule="exact"/>
        <w:widowControl w:val="off"/>
        <w:rPr>
          <w:rFonts w:hint="eastAsia" w:ascii="宋体" w:hAnsi="宋体" w:eastAsia="宋体" w:cs="宋体"/>
          <w:sz w:val="24"/>
          <w:szCs w:val="24"/>
          <w:highlight w:val="none"/>
        </w:rPr>
      </w:pPr>
      <w:r/>
      <w:bookmarkStart w:id="120" w:name="_Toc16938543"/>
      <w:r/>
      <w:bookmarkStart w:id="121" w:name="_Toc513029227"/>
      <w:r/>
      <w:bookmarkStart w:id="122" w:name="_Toc20823299"/>
      <w:r>
        <w:rPr>
          <w:rFonts w:hint="eastAsia" w:ascii="宋体" w:hAnsi="宋体" w:eastAsia="宋体" w:cs="宋体"/>
          <w:color w:val="000000"/>
          <w:sz w:val="24"/>
          <w:szCs w:val="24"/>
          <w:highlight w:val="none"/>
        </w:rPr>
        <w:t xml:space="preserve">20、投标文件</w:t>
      </w:r>
      <w:bookmarkEnd w:id="120"/>
      <w:r/>
      <w:bookmarkEnd w:id="121"/>
      <w:r/>
      <w:bookmarkEnd w:id="122"/>
      <w:r>
        <w:rPr>
          <w:rFonts w:hint="eastAsia" w:ascii="宋体" w:hAnsi="宋体" w:eastAsia="宋体" w:cs="宋体"/>
          <w:color w:val="000000"/>
          <w:sz w:val="24"/>
          <w:szCs w:val="24"/>
          <w:highlight w:val="none"/>
        </w:rPr>
        <w:t xml:space="preserve">的拒收</w:t>
      </w:r>
      <w:r/>
    </w:p>
    <w:p>
      <w:pPr>
        <w:pStyle w:val="856"/>
        <w:ind w:firstLine="480"/>
        <w:jc w:val="both"/>
        <w:pageBreakBefore w:val="0"/>
        <w:spacing w:beforeAutospacing="0" w:afterAutospacing="0" w:line="460" w:lineRule="exact"/>
        <w:widowControl w:val="off"/>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20.1 </w:t>
      </w:r>
      <w:r>
        <w:rPr>
          <w:rFonts w:hint="eastAsia" w:ascii="宋体" w:hAnsi="宋体" w:eastAsia="宋体" w:cs="宋体"/>
          <w:color w:val="000000"/>
          <w:sz w:val="24"/>
          <w:szCs w:val="24"/>
          <w:highlight w:val="none"/>
          <w:lang w:eastAsia="zh-CN"/>
        </w:rPr>
        <w:t xml:space="preserve">采购代理机构</w:t>
      </w:r>
      <w:r>
        <w:rPr>
          <w:rFonts w:hint="eastAsia" w:ascii="宋体" w:hAnsi="宋体" w:eastAsia="宋体" w:cs="宋体"/>
          <w:color w:val="000000"/>
          <w:sz w:val="24"/>
          <w:szCs w:val="24"/>
          <w:highlight w:val="none"/>
        </w:rPr>
        <w:t xml:space="preserve">拒绝接收在其规定的投标截止时间后上传的任何投标文件。</w:t>
      </w:r>
      <w:r/>
    </w:p>
    <w:p>
      <w:pPr>
        <w:pStyle w:val="856"/>
        <w:ind w:firstLine="480"/>
        <w:jc w:val="both"/>
        <w:keepLines/>
        <w:keepNext/>
        <w:pageBreakBefore w:val="0"/>
        <w:spacing w:beforeAutospacing="0" w:afterAutospacing="0" w:line="460" w:lineRule="exact"/>
        <w:widowControl w:val="off"/>
        <w:rPr>
          <w:rFonts w:hint="eastAsia" w:ascii="宋体" w:hAnsi="宋体" w:eastAsia="宋体" w:cs="宋体"/>
          <w:sz w:val="24"/>
          <w:szCs w:val="24"/>
          <w:highlight w:val="none"/>
        </w:rPr>
      </w:pPr>
      <w:r/>
      <w:bookmarkStart w:id="123" w:name="_Toc20823300"/>
      <w:r/>
      <w:bookmarkStart w:id="124" w:name="_Toc513029228"/>
      <w:r/>
      <w:bookmarkStart w:id="125" w:name="_Toc16938544"/>
      <w:r>
        <w:rPr>
          <w:rFonts w:hint="eastAsia" w:ascii="宋体" w:hAnsi="宋体" w:eastAsia="宋体" w:cs="宋体"/>
          <w:color w:val="000000"/>
          <w:sz w:val="24"/>
          <w:szCs w:val="24"/>
          <w:highlight w:val="none"/>
        </w:rPr>
        <w:t xml:space="preserve">21、投标文件的撤回和修改</w:t>
      </w:r>
      <w:bookmarkEnd w:id="123"/>
      <w:r/>
      <w:bookmarkEnd w:id="124"/>
      <w:r/>
      <w:bookmarkEnd w:id="125"/>
      <w:r/>
      <w:r/>
    </w:p>
    <w:p>
      <w:pPr>
        <w:pStyle w:val="856"/>
        <w:ind w:firstLine="480"/>
        <w:jc w:val="both"/>
        <w:pageBreakBefore w:val="0"/>
        <w:spacing w:beforeAutospacing="0" w:afterAutospacing="0" w:line="460" w:lineRule="exact"/>
        <w:widowControl w:val="off"/>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21.1 投标文件的撤回</w:t>
      </w:r>
      <w:r/>
    </w:p>
    <w:p>
      <w:pPr>
        <w:pStyle w:val="856"/>
        <w:ind w:firstLine="480"/>
        <w:jc w:val="both"/>
        <w:pageBreakBefore w:val="0"/>
        <w:spacing w:beforeAutospacing="0" w:afterAutospacing="0" w:line="460" w:lineRule="exact"/>
        <w:widowControl w:val="off"/>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21.1.1 电子投标文件的撤回</w:t>
      </w:r>
      <w:r/>
    </w:p>
    <w:p>
      <w:pPr>
        <w:pStyle w:val="856"/>
        <w:ind w:firstLine="480"/>
        <w:jc w:val="both"/>
        <w:pageBreakBefore w:val="0"/>
        <w:spacing w:beforeAutospacing="0" w:afterAutospacing="0" w:line="460" w:lineRule="exact"/>
        <w:widowControl w:val="off"/>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投标人可在投标截止时间前，撤回其电子投标文件，具体操作方法见《操作手册》。</w:t>
      </w:r>
      <w:r/>
    </w:p>
    <w:p>
      <w:pPr>
        <w:pStyle w:val="856"/>
        <w:ind w:firstLine="480"/>
        <w:jc w:val="both"/>
        <w:pageBreakBefore w:val="0"/>
        <w:spacing w:beforeAutospacing="0" w:afterAutospacing="0" w:line="460" w:lineRule="exact"/>
        <w:widowControl w:val="off"/>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21.1.2 投标人撤回电子投标文件，则认为其不再参与本项目投标活动。</w:t>
      </w:r>
      <w:r/>
    </w:p>
    <w:p>
      <w:pPr>
        <w:pStyle w:val="856"/>
        <w:ind w:firstLine="480"/>
        <w:jc w:val="both"/>
        <w:pageBreakBefore w:val="0"/>
        <w:spacing w:beforeAutospacing="0" w:afterAutospacing="0" w:line="460" w:lineRule="exact"/>
        <w:widowControl w:val="off"/>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21.2 投标文件的修改</w:t>
      </w:r>
      <w:r/>
    </w:p>
    <w:p>
      <w:pPr>
        <w:pStyle w:val="856"/>
        <w:ind w:firstLine="480"/>
        <w:jc w:val="both"/>
        <w:pageBreakBefore w:val="0"/>
        <w:spacing w:beforeAutospacing="0" w:afterAutospacing="0" w:line="460" w:lineRule="exact"/>
        <w:widowControl w:val="off"/>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21.2.1</w:t>
      </w:r>
      <w:r>
        <w:rPr>
          <w:rFonts w:hint="eastAsia" w:ascii="宋体" w:hAnsi="宋体" w:eastAsia="宋体" w:cs="宋体"/>
          <w:color w:val="000000"/>
          <w:sz w:val="24"/>
          <w:szCs w:val="24"/>
          <w:highlight w:val="none"/>
          <w:lang w:val="en-US" w:eastAsia="zh-CN"/>
        </w:rPr>
        <w:t xml:space="preserve"> </w:t>
      </w:r>
      <w:r>
        <w:rPr>
          <w:rFonts w:hint="eastAsia" w:ascii="宋体" w:hAnsi="宋体" w:eastAsia="宋体" w:cs="宋体"/>
          <w:color w:val="000000"/>
          <w:sz w:val="24"/>
          <w:szCs w:val="24"/>
          <w:highlight w:val="none"/>
        </w:rPr>
        <w:t xml:space="preserve">投标人可在投标截止时间前，对其电子投标文件进行修改，具体操作方法见《操作手册》。</w:t>
      </w:r>
      <w:r/>
    </w:p>
    <w:p>
      <w:pPr>
        <w:pStyle w:val="856"/>
        <w:ind w:firstLine="480"/>
        <w:jc w:val="both"/>
        <w:pageBreakBefore w:val="0"/>
        <w:spacing w:beforeAutospacing="0" w:afterAutospacing="0" w:line="460" w:lineRule="exact"/>
        <w:widowControl w:val="off"/>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21.2.2 在投标截止时间之后，投标人不得对其电子投标文件作任何修改。</w:t>
      </w:r>
      <w:r/>
    </w:p>
    <w:p>
      <w:pPr>
        <w:pStyle w:val="856"/>
        <w:ind w:firstLine="480"/>
        <w:jc w:val="both"/>
        <w:pageBreakBefore w:val="0"/>
        <w:spacing w:beforeAutospacing="0" w:afterAutospacing="0" w:line="460" w:lineRule="exact"/>
        <w:widowControl w:val="off"/>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21.3 在投标截止时间至招标文件中规定的投标有效期满之间的这段时间内，投标人不得撤回其投标。</w:t>
      </w:r>
      <w:r/>
    </w:p>
    <w:p>
      <w:pPr>
        <w:pStyle w:val="856"/>
        <w:ind w:firstLine="482"/>
        <w:jc w:val="both"/>
        <w:keepLines/>
        <w:keepNext/>
        <w:pageBreakBefore w:val="0"/>
        <w:spacing w:beforeAutospacing="0" w:afterAutospacing="0" w:line="460" w:lineRule="exact"/>
        <w:widowControl w:val="off"/>
        <w:rPr>
          <w:rFonts w:hint="eastAsia" w:ascii="宋体" w:hAnsi="宋体" w:eastAsia="宋体" w:cs="宋体"/>
          <w:sz w:val="24"/>
          <w:szCs w:val="24"/>
          <w:highlight w:val="none"/>
        </w:rPr>
      </w:pPr>
      <w:r/>
      <w:bookmarkStart w:id="126" w:name="_Toc120614218"/>
      <w:r/>
      <w:bookmarkStart w:id="127" w:name="_Toc16938545"/>
      <w:r/>
      <w:bookmarkStart w:id="128" w:name="_Toc513029229"/>
      <w:r/>
      <w:bookmarkStart w:id="129" w:name="_Toc20823301"/>
      <w:r>
        <w:rPr>
          <w:rFonts w:hint="eastAsia" w:ascii="宋体" w:hAnsi="宋体" w:eastAsia="宋体" w:cs="宋体"/>
          <w:b/>
          <w:color w:val="000000"/>
          <w:sz w:val="24"/>
          <w:szCs w:val="24"/>
          <w:highlight w:val="none"/>
        </w:rPr>
        <w:t xml:space="preserve">五、开标与评标</w:t>
      </w:r>
      <w:bookmarkEnd w:id="126"/>
      <w:r/>
      <w:bookmarkEnd w:id="127"/>
      <w:r/>
      <w:bookmarkEnd w:id="128"/>
      <w:r/>
      <w:bookmarkEnd w:id="129"/>
      <w:r/>
      <w:r/>
    </w:p>
    <w:p>
      <w:pPr>
        <w:pStyle w:val="856"/>
        <w:ind w:firstLine="480"/>
        <w:jc w:val="both"/>
        <w:keepLines/>
        <w:keepNext/>
        <w:pageBreakBefore w:val="0"/>
        <w:spacing w:beforeAutospacing="0" w:afterAutospacing="0" w:line="460" w:lineRule="exact"/>
        <w:widowControl w:val="off"/>
        <w:rPr>
          <w:rFonts w:hint="eastAsia" w:ascii="宋体" w:hAnsi="宋体" w:eastAsia="宋体" w:cs="宋体"/>
          <w:sz w:val="24"/>
          <w:szCs w:val="24"/>
          <w:highlight w:val="none"/>
        </w:rPr>
      </w:pPr>
      <w:r/>
      <w:bookmarkStart w:id="130" w:name="_Toc513029230"/>
      <w:r/>
      <w:bookmarkStart w:id="131" w:name="_Toc16938546"/>
      <w:r/>
      <w:bookmarkStart w:id="132" w:name="_Toc20823302"/>
      <w:r>
        <w:rPr>
          <w:rFonts w:hint="eastAsia" w:ascii="宋体" w:hAnsi="宋体" w:eastAsia="宋体" w:cs="宋体"/>
          <w:color w:val="000000"/>
          <w:sz w:val="24"/>
          <w:szCs w:val="24"/>
          <w:highlight w:val="none"/>
        </w:rPr>
        <w:t xml:space="preserve">22、开标</w:t>
      </w:r>
      <w:bookmarkEnd w:id="130"/>
      <w:r/>
      <w:bookmarkEnd w:id="131"/>
      <w:r/>
      <w:bookmarkEnd w:id="132"/>
      <w:r/>
      <w:r/>
    </w:p>
    <w:p>
      <w:pPr>
        <w:pStyle w:val="856"/>
        <w:ind w:firstLine="480"/>
        <w:jc w:val="both"/>
        <w:pageBreakBefore w:val="0"/>
        <w:spacing w:beforeAutospacing="0" w:afterAutospacing="0" w:line="46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000000"/>
          <w:sz w:val="24"/>
          <w:szCs w:val="24"/>
          <w:highlight w:val="none"/>
        </w:rPr>
        <w:t xml:space="preserve">22.1 </w:t>
      </w:r>
      <w:r>
        <w:rPr>
          <w:rFonts w:hint="eastAsia" w:ascii="宋体" w:hAnsi="宋体" w:eastAsia="宋体" w:cs="宋体"/>
          <w:color w:val="000000"/>
          <w:sz w:val="24"/>
          <w:szCs w:val="24"/>
          <w:highlight w:val="none"/>
          <w:lang w:eastAsia="zh-CN"/>
        </w:rPr>
        <w:t xml:space="preserve">采购代理机构</w:t>
      </w:r>
      <w:r>
        <w:rPr>
          <w:rFonts w:hint="eastAsia" w:ascii="宋体" w:hAnsi="宋体" w:eastAsia="宋体" w:cs="宋体"/>
          <w:color w:val="000000"/>
          <w:sz w:val="24"/>
          <w:szCs w:val="24"/>
          <w:highlight w:val="none"/>
        </w:rPr>
        <w:t xml:space="preserve">将在招标公告中规定的时间和地点组织公开开标。投标人应当按照《操作手册》规定，参加开标活动</w:t>
      </w:r>
      <w:r>
        <w:rPr>
          <w:rFonts w:hint="eastAsia" w:ascii="宋体" w:hAnsi="宋体" w:eastAsia="宋体" w:cs="宋体"/>
          <w:color w:val="auto"/>
          <w:sz w:val="24"/>
          <w:szCs w:val="24"/>
          <w:highlight w:val="none"/>
        </w:rPr>
        <w:t xml:space="preserve">和在苏采云系统规定的时间内对投标文件进行解密。</w:t>
      </w:r>
      <w:r/>
    </w:p>
    <w:p>
      <w:pPr>
        <w:pStyle w:val="856"/>
        <w:ind w:firstLine="480"/>
        <w:jc w:val="both"/>
        <w:pageBreakBefore w:val="0"/>
        <w:spacing w:beforeAutospacing="0" w:afterAutospacing="0" w:line="46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22.2</w:t>
      </w:r>
      <w:r>
        <w:rPr>
          <w:rFonts w:hint="eastAsia" w:ascii="宋体" w:hAnsi="宋体" w:eastAsia="宋体" w:cs="宋体"/>
          <w:color w:val="auto"/>
          <w:sz w:val="24"/>
          <w:szCs w:val="24"/>
          <w:highlight w:val="none"/>
          <w:lang w:val="en-US" w:eastAsia="zh-CN"/>
        </w:rPr>
        <w:t xml:space="preserve"> </w:t>
      </w:r>
      <w:r>
        <w:rPr>
          <w:rFonts w:hint="eastAsia" w:ascii="宋体" w:hAnsi="宋体" w:eastAsia="宋体" w:cs="宋体"/>
          <w:color w:val="auto"/>
          <w:sz w:val="24"/>
          <w:szCs w:val="24"/>
          <w:highlight w:val="none"/>
        </w:rPr>
        <w:t xml:space="preserve">开标仪式由</w:t>
      </w:r>
      <w:r>
        <w:rPr>
          <w:rFonts w:hint="eastAsia" w:ascii="宋体" w:hAnsi="宋体" w:eastAsia="宋体" w:cs="宋体"/>
          <w:color w:val="auto"/>
          <w:sz w:val="24"/>
          <w:szCs w:val="24"/>
          <w:highlight w:val="none"/>
          <w:lang w:eastAsia="zh-CN"/>
        </w:rPr>
        <w:t xml:space="preserve">采购代理机构</w:t>
      </w:r>
      <w:r>
        <w:rPr>
          <w:rFonts w:hint="eastAsia" w:ascii="宋体" w:hAnsi="宋体" w:eastAsia="宋体" w:cs="宋体"/>
          <w:color w:val="auto"/>
          <w:sz w:val="24"/>
          <w:szCs w:val="24"/>
          <w:highlight w:val="none"/>
        </w:rPr>
        <w:t xml:space="preserve">组织。苏采云系统将自动对项目进行开标，并宣布各投标人名称和投标价格。</w:t>
      </w:r>
      <w:r/>
    </w:p>
    <w:p>
      <w:pPr>
        <w:pStyle w:val="856"/>
        <w:ind w:firstLine="480"/>
        <w:jc w:val="both"/>
        <w:pageBreakBefore w:val="0"/>
        <w:spacing w:beforeAutospacing="0" w:afterAutospacing="0" w:line="46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22.3</w:t>
      </w:r>
      <w:r>
        <w:rPr>
          <w:rFonts w:hint="eastAsia" w:ascii="宋体" w:hAnsi="宋体" w:eastAsia="宋体" w:cs="宋体"/>
          <w:color w:val="auto"/>
          <w:sz w:val="24"/>
          <w:szCs w:val="24"/>
          <w:highlight w:val="none"/>
          <w:lang w:val="en-US" w:eastAsia="zh-CN"/>
        </w:rPr>
        <w:t xml:space="preserve"> </w:t>
      </w:r>
      <w:r>
        <w:rPr>
          <w:rFonts w:hint="eastAsia" w:ascii="宋体" w:hAnsi="宋体" w:eastAsia="宋体" w:cs="宋体"/>
          <w:color w:val="auto"/>
          <w:sz w:val="24"/>
          <w:szCs w:val="24"/>
          <w:highlight w:val="none"/>
        </w:rPr>
        <w:t xml:space="preserve">投标人在开标过程中涉及到的投标文件解密、开标结果确认等工作，应按照《操作手册》规定执行。</w:t>
      </w:r>
      <w:r/>
    </w:p>
    <w:p>
      <w:pPr>
        <w:pStyle w:val="856"/>
        <w:ind w:firstLine="480"/>
        <w:jc w:val="both"/>
        <w:pageBreakBefore w:val="0"/>
        <w:spacing w:beforeAutospacing="0" w:afterAutospacing="0" w:line="460" w:lineRule="exact"/>
        <w:widowControl w:val="off"/>
        <w:rPr>
          <w:rFonts w:hint="eastAsia" w:ascii="宋体" w:hAnsi="宋体" w:eastAsia="宋体" w:cs="宋体"/>
          <w:sz w:val="24"/>
          <w:szCs w:val="24"/>
          <w:highlight w:val="none"/>
        </w:rPr>
      </w:pPr>
      <w:r>
        <w:rPr>
          <w:rFonts w:hint="eastAsia" w:ascii="宋体" w:hAnsi="宋体" w:eastAsia="宋体" w:cs="宋体"/>
          <w:color w:val="auto"/>
          <w:sz w:val="24"/>
          <w:szCs w:val="24"/>
          <w:highlight w:val="none"/>
        </w:rPr>
        <w:t xml:space="preserve">22.4</w:t>
      </w:r>
      <w:r>
        <w:rPr>
          <w:rFonts w:hint="eastAsia" w:ascii="宋体" w:hAnsi="宋体" w:eastAsia="宋体" w:cs="宋体"/>
          <w:color w:val="auto"/>
          <w:sz w:val="24"/>
          <w:szCs w:val="24"/>
          <w:highlight w:val="none"/>
          <w:lang w:val="en-US" w:eastAsia="zh-CN"/>
        </w:rPr>
        <w:t xml:space="preserve"> </w:t>
      </w:r>
      <w:r>
        <w:rPr>
          <w:rFonts w:hint="eastAsia" w:ascii="宋体" w:hAnsi="宋体" w:eastAsia="宋体" w:cs="宋体"/>
          <w:color w:val="auto"/>
          <w:sz w:val="24"/>
          <w:szCs w:val="24"/>
          <w:highlight w:val="none"/>
        </w:rPr>
        <w:t xml:space="preserve">投标人如果对开标过程和开标记录有疑义，应当根据《操作手册》规定提出，如苏采云系统中《开标记录表》宣布后5分钟内未提出的</w:t>
      </w:r>
      <w:r>
        <w:rPr>
          <w:rFonts w:hint="eastAsia" w:ascii="宋体" w:hAnsi="宋体" w:eastAsia="宋体" w:cs="宋体"/>
          <w:color w:val="000000"/>
          <w:sz w:val="24"/>
          <w:szCs w:val="24"/>
          <w:highlight w:val="none"/>
        </w:rPr>
        <w:t xml:space="preserve">，视同认可开标结果。</w:t>
      </w:r>
      <w:r/>
    </w:p>
    <w:p>
      <w:pPr>
        <w:pStyle w:val="856"/>
        <w:ind w:firstLine="480"/>
        <w:jc w:val="both"/>
        <w:keepLines/>
        <w:keepNext/>
        <w:pageBreakBefore w:val="0"/>
        <w:spacing w:beforeAutospacing="0" w:afterAutospacing="0" w:line="460" w:lineRule="exact"/>
        <w:widowControl w:val="off"/>
        <w:rPr>
          <w:rFonts w:hint="eastAsia" w:ascii="宋体" w:hAnsi="宋体" w:eastAsia="宋体" w:cs="宋体"/>
          <w:sz w:val="24"/>
          <w:szCs w:val="24"/>
          <w:highlight w:val="none"/>
        </w:rPr>
      </w:pPr>
      <w:r/>
      <w:bookmarkStart w:id="133" w:name="_Toc16938547"/>
      <w:r/>
      <w:bookmarkStart w:id="134" w:name="_Toc513029231"/>
      <w:r/>
      <w:bookmarkStart w:id="135" w:name="_Toc20823303"/>
      <w:r>
        <w:rPr>
          <w:rFonts w:hint="eastAsia" w:ascii="宋体" w:hAnsi="宋体" w:eastAsia="宋体" w:cs="宋体"/>
          <w:color w:val="000000"/>
          <w:sz w:val="24"/>
          <w:szCs w:val="24"/>
          <w:highlight w:val="none"/>
        </w:rPr>
        <w:t xml:space="preserve">23、评标委员会</w:t>
      </w:r>
      <w:bookmarkEnd w:id="133"/>
      <w:r/>
      <w:bookmarkEnd w:id="134"/>
      <w:r/>
      <w:bookmarkEnd w:id="135"/>
      <w:r/>
      <w:r/>
    </w:p>
    <w:p>
      <w:pPr>
        <w:pStyle w:val="856"/>
        <w:ind w:firstLine="480"/>
        <w:jc w:val="both"/>
        <w:pageBreakBefore w:val="0"/>
        <w:spacing w:beforeAutospacing="0" w:afterAutospacing="0" w:line="460" w:lineRule="exact"/>
        <w:widowControl w:val="off"/>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23.1</w:t>
      </w:r>
      <w:r>
        <w:rPr>
          <w:rFonts w:hint="eastAsia" w:ascii="宋体" w:hAnsi="宋体" w:eastAsia="宋体" w:cs="宋体"/>
          <w:color w:val="000000"/>
          <w:sz w:val="24"/>
          <w:szCs w:val="24"/>
          <w:highlight w:val="none"/>
          <w:lang w:val="en-US" w:eastAsia="zh-CN"/>
        </w:rPr>
        <w:t xml:space="preserve"> </w:t>
      </w:r>
      <w:r>
        <w:rPr>
          <w:rFonts w:hint="eastAsia" w:ascii="宋体" w:hAnsi="宋体" w:eastAsia="宋体" w:cs="宋体"/>
          <w:color w:val="000000"/>
          <w:sz w:val="24"/>
          <w:szCs w:val="24"/>
          <w:highlight w:val="none"/>
        </w:rPr>
        <w:t xml:space="preserve">开标后，</w:t>
      </w:r>
      <w:r>
        <w:rPr>
          <w:rFonts w:hint="eastAsia" w:ascii="宋体" w:hAnsi="宋体" w:eastAsia="宋体" w:cs="宋体"/>
          <w:color w:val="000000"/>
          <w:sz w:val="24"/>
          <w:szCs w:val="24"/>
          <w:highlight w:val="none"/>
          <w:lang w:eastAsia="zh-CN"/>
        </w:rPr>
        <w:t xml:space="preserve">采购代理机构</w:t>
      </w:r>
      <w:r>
        <w:rPr>
          <w:rFonts w:hint="eastAsia" w:ascii="宋体" w:hAnsi="宋体" w:eastAsia="宋体" w:cs="宋体"/>
          <w:color w:val="000000"/>
          <w:sz w:val="24"/>
          <w:szCs w:val="24"/>
          <w:highlight w:val="none"/>
        </w:rPr>
        <w:t xml:space="preserve">将立即组织评标委员会（以下简称评委会）进行评标。</w:t>
      </w:r>
      <w:r/>
    </w:p>
    <w:p>
      <w:pPr>
        <w:pStyle w:val="856"/>
        <w:ind w:firstLine="480"/>
        <w:jc w:val="both"/>
        <w:pageBreakBefore w:val="0"/>
        <w:spacing w:beforeAutospacing="0" w:afterAutospacing="0" w:line="460" w:lineRule="exact"/>
        <w:widowControl w:val="off"/>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23.2 评委会由采购人代表和有关技术、经济等方面的专家组成，且人员构成符合政府采购有关规定。</w:t>
      </w:r>
      <w:r/>
    </w:p>
    <w:p>
      <w:pPr>
        <w:pStyle w:val="856"/>
        <w:ind w:firstLine="480"/>
        <w:jc w:val="both"/>
        <w:pageBreakBefore w:val="0"/>
        <w:spacing w:beforeAutospacing="0" w:afterAutospacing="0" w:line="460" w:lineRule="exact"/>
        <w:widowControl w:val="off"/>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23.3</w:t>
      </w:r>
      <w:r>
        <w:rPr>
          <w:rFonts w:hint="eastAsia" w:ascii="宋体" w:hAnsi="宋体" w:eastAsia="宋体" w:cs="宋体"/>
          <w:color w:val="000000"/>
          <w:sz w:val="24"/>
          <w:szCs w:val="24"/>
          <w:highlight w:val="none"/>
          <w:lang w:val="en-US" w:eastAsia="zh-CN"/>
        </w:rPr>
        <w:t xml:space="preserve"> </w:t>
      </w:r>
      <w:r>
        <w:rPr>
          <w:rFonts w:hint="eastAsia" w:ascii="宋体" w:hAnsi="宋体" w:eastAsia="宋体" w:cs="宋体"/>
          <w:color w:val="000000"/>
          <w:sz w:val="24"/>
          <w:szCs w:val="24"/>
          <w:highlight w:val="none"/>
        </w:rPr>
        <w:t xml:space="preserve">评委会独立工作，负责评审所有投标文件并确定中标侯选人。</w:t>
      </w:r>
      <w:r/>
    </w:p>
    <w:p>
      <w:pPr>
        <w:pStyle w:val="856"/>
        <w:ind w:firstLine="480"/>
        <w:jc w:val="both"/>
        <w:keepLines/>
        <w:keepNext/>
        <w:pageBreakBefore w:val="0"/>
        <w:spacing w:beforeAutospacing="0" w:afterAutospacing="0" w:line="460" w:lineRule="exact"/>
        <w:widowControl w:val="off"/>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24</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评标过程的保密与公正</w:t>
      </w:r>
      <w:r/>
    </w:p>
    <w:p>
      <w:pPr>
        <w:pStyle w:val="856"/>
        <w:ind w:firstLine="480"/>
        <w:jc w:val="both"/>
        <w:pageBreakBefore w:val="0"/>
        <w:spacing w:beforeAutospacing="0" w:afterAutospacing="0" w:line="460" w:lineRule="exact"/>
        <w:widowControl w:val="off"/>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24.1</w:t>
      </w:r>
      <w:r>
        <w:rPr>
          <w:rFonts w:hint="eastAsia" w:ascii="宋体" w:hAnsi="宋体" w:eastAsia="宋体" w:cs="宋体"/>
          <w:color w:val="000000"/>
          <w:sz w:val="24"/>
          <w:szCs w:val="24"/>
          <w:highlight w:val="none"/>
          <w:lang w:val="en-US" w:eastAsia="zh-CN"/>
        </w:rPr>
        <w:t xml:space="preserve"> </w:t>
      </w:r>
      <w:r>
        <w:rPr>
          <w:rFonts w:hint="eastAsia" w:ascii="宋体" w:hAnsi="宋体" w:eastAsia="宋体" w:cs="宋体"/>
          <w:color w:val="000000"/>
          <w:sz w:val="24"/>
          <w:szCs w:val="24"/>
          <w:highlight w:val="none"/>
        </w:rPr>
        <w:t xml:space="preserve">凡是与审查、澄清、评价和比较投标的有关资料以及授标建议等，采购人、评委、</w:t>
      </w:r>
      <w:r>
        <w:rPr>
          <w:rFonts w:hint="eastAsia" w:ascii="宋体" w:hAnsi="宋体" w:eastAsia="宋体" w:cs="宋体"/>
          <w:color w:val="000000"/>
          <w:sz w:val="24"/>
          <w:szCs w:val="24"/>
          <w:highlight w:val="none"/>
          <w:lang w:eastAsia="zh-CN"/>
        </w:rPr>
        <w:t xml:space="preserve">采购代理机构</w:t>
      </w:r>
      <w:r>
        <w:rPr>
          <w:rFonts w:hint="eastAsia" w:ascii="宋体" w:hAnsi="宋体" w:eastAsia="宋体" w:cs="宋体"/>
          <w:color w:val="000000"/>
          <w:sz w:val="24"/>
          <w:szCs w:val="24"/>
          <w:highlight w:val="none"/>
        </w:rPr>
        <w:t xml:space="preserve">均不得向投标人或与评标无关的其他人员透露。</w:t>
      </w:r>
      <w:r/>
    </w:p>
    <w:p>
      <w:pPr>
        <w:pStyle w:val="856"/>
        <w:ind w:firstLine="480"/>
        <w:jc w:val="both"/>
        <w:pageBreakBefore w:val="0"/>
        <w:spacing w:beforeAutospacing="0" w:afterAutospacing="0" w:line="460" w:lineRule="exact"/>
        <w:widowControl w:val="off"/>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24.2</w:t>
      </w:r>
      <w:r>
        <w:rPr>
          <w:rFonts w:hint="eastAsia" w:ascii="宋体" w:hAnsi="宋体" w:eastAsia="宋体" w:cs="宋体"/>
          <w:color w:val="000000"/>
          <w:sz w:val="24"/>
          <w:szCs w:val="24"/>
          <w:highlight w:val="none"/>
          <w:lang w:val="en-US" w:eastAsia="zh-CN"/>
        </w:rPr>
        <w:t xml:space="preserve"> </w:t>
      </w:r>
      <w:r>
        <w:rPr>
          <w:rFonts w:hint="eastAsia" w:ascii="宋体" w:hAnsi="宋体" w:eastAsia="宋体" w:cs="宋体"/>
          <w:color w:val="000000"/>
          <w:sz w:val="24"/>
          <w:szCs w:val="24"/>
          <w:highlight w:val="none"/>
        </w:rPr>
        <w:t xml:space="preserve">在评标过程中，投标人不得以任何行为影响评标过程，否则其投标文件将被作为无效投标文件。</w:t>
      </w:r>
      <w:r/>
    </w:p>
    <w:p>
      <w:pPr>
        <w:pStyle w:val="856"/>
        <w:ind w:firstLine="480"/>
        <w:jc w:val="both"/>
        <w:pageBreakBefore w:val="0"/>
        <w:spacing w:beforeAutospacing="0" w:afterAutospacing="0" w:line="46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000000"/>
          <w:sz w:val="24"/>
          <w:szCs w:val="24"/>
          <w:highlight w:val="none"/>
        </w:rPr>
        <w:t xml:space="preserve">24.3 </w:t>
      </w:r>
      <w:r>
        <w:rPr>
          <w:rFonts w:hint="eastAsia" w:ascii="宋体" w:hAnsi="宋体" w:eastAsia="宋体" w:cs="宋体"/>
          <w:color w:val="000000"/>
          <w:sz w:val="24"/>
          <w:szCs w:val="24"/>
          <w:highlight w:val="none"/>
          <w:lang w:eastAsia="zh-CN"/>
        </w:rPr>
        <w:t xml:space="preserve">采购代理机构</w:t>
      </w:r>
      <w:r>
        <w:rPr>
          <w:rFonts w:hint="eastAsia" w:ascii="宋体" w:hAnsi="宋体" w:eastAsia="宋体" w:cs="宋体"/>
          <w:color w:val="000000"/>
          <w:sz w:val="24"/>
          <w:szCs w:val="24"/>
          <w:highlight w:val="none"/>
        </w:rPr>
        <w:t xml:space="preserve">和评标委员会不向未中标的投标人解释未中标原因，也不公布评标过程中的相关</w:t>
      </w:r>
      <w:r>
        <w:rPr>
          <w:rFonts w:hint="eastAsia" w:ascii="宋体" w:hAnsi="宋体" w:eastAsia="宋体" w:cs="宋体"/>
          <w:color w:val="auto"/>
          <w:sz w:val="24"/>
          <w:szCs w:val="24"/>
          <w:highlight w:val="none"/>
        </w:rPr>
        <w:t xml:space="preserve">细节。</w:t>
      </w:r>
      <w:r/>
    </w:p>
    <w:p>
      <w:pPr>
        <w:pStyle w:val="856"/>
        <w:ind w:firstLine="480"/>
        <w:jc w:val="both"/>
        <w:pageBreakBefore w:val="0"/>
        <w:spacing w:beforeAutospacing="0" w:afterAutospacing="0" w:line="46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24.4 采用综合评分法的项目，未中标的投标人可于中标结果公告期限届满之日起通过苏采云系统查看自己的评审得分及</w:t>
      </w:r>
      <w:r>
        <w:rPr>
          <w:rFonts w:hint="eastAsia" w:ascii="宋体" w:hAnsi="宋体" w:eastAsia="宋体" w:cs="宋体"/>
          <w:color w:val="000000"/>
          <w:sz w:val="24"/>
          <w:szCs w:val="24"/>
          <w:highlight w:val="none"/>
        </w:rPr>
        <w:t xml:space="preserve">排序情况。</w:t>
      </w:r>
      <w:r/>
    </w:p>
    <w:p>
      <w:pPr>
        <w:pStyle w:val="856"/>
        <w:ind w:firstLine="480"/>
        <w:jc w:val="both"/>
        <w:keepLines/>
        <w:keepNext/>
        <w:pageBreakBefore w:val="0"/>
        <w:spacing w:beforeAutospacing="0" w:afterAutospacing="0" w:line="460" w:lineRule="exact"/>
        <w:widowControl w:val="off"/>
        <w:rPr>
          <w:rFonts w:hint="eastAsia" w:ascii="宋体" w:hAnsi="宋体" w:eastAsia="宋体" w:cs="宋体"/>
          <w:sz w:val="24"/>
          <w:szCs w:val="24"/>
          <w:highlight w:val="none"/>
        </w:rPr>
      </w:pPr>
      <w:r/>
      <w:bookmarkStart w:id="136" w:name="_Toc16938548"/>
      <w:r/>
      <w:bookmarkStart w:id="137" w:name="_Toc513029232"/>
      <w:r/>
      <w:bookmarkStart w:id="138" w:name="_Toc20823304"/>
      <w:r>
        <w:rPr>
          <w:rFonts w:hint="eastAsia" w:ascii="宋体" w:hAnsi="宋体" w:eastAsia="宋体" w:cs="宋体"/>
          <w:color w:val="000000"/>
          <w:sz w:val="24"/>
          <w:szCs w:val="24"/>
          <w:highlight w:val="none"/>
        </w:rPr>
        <w:t xml:space="preserve">25</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投标文件的澄清</w:t>
      </w:r>
      <w:bookmarkEnd w:id="136"/>
      <w:r/>
      <w:bookmarkEnd w:id="137"/>
      <w:r/>
      <w:bookmarkEnd w:id="138"/>
      <w:r/>
      <w:r/>
    </w:p>
    <w:p>
      <w:pPr>
        <w:pStyle w:val="856"/>
        <w:ind w:firstLine="480"/>
        <w:jc w:val="both"/>
        <w:pageBreakBefore w:val="0"/>
        <w:spacing w:beforeAutospacing="0" w:afterAutospacing="0" w:line="460" w:lineRule="exact"/>
        <w:widowControl w:val="off"/>
        <w:rPr>
          <w:rFonts w:hint="eastAsia" w:ascii="宋体" w:hAnsi="宋体" w:eastAsia="宋体" w:cs="宋体"/>
          <w:sz w:val="24"/>
          <w:szCs w:val="24"/>
          <w:highlight w:val="none"/>
        </w:rPr>
      </w:pPr>
      <w:r/>
      <w:bookmarkStart w:id="139" w:name="_Toc16938549"/>
      <w:r/>
      <w:bookmarkStart w:id="140" w:name="_Toc513029233"/>
      <w:r/>
      <w:bookmarkStart w:id="141" w:name="_Toc20823305"/>
      <w:r>
        <w:rPr>
          <w:rFonts w:hint="eastAsia" w:ascii="宋体" w:hAnsi="宋体" w:eastAsia="宋体" w:cs="宋体"/>
          <w:color w:val="000000"/>
          <w:sz w:val="24"/>
          <w:szCs w:val="24"/>
          <w:highlight w:val="none"/>
        </w:rPr>
        <w:t xml:space="preserve">25.1</w:t>
      </w:r>
      <w:r>
        <w:rPr>
          <w:rFonts w:hint="eastAsia" w:ascii="宋体" w:hAnsi="宋体" w:eastAsia="宋体" w:cs="宋体"/>
          <w:color w:val="000000"/>
          <w:sz w:val="24"/>
          <w:szCs w:val="24"/>
          <w:highlight w:val="none"/>
          <w:lang w:val="en-US" w:eastAsia="zh-CN"/>
        </w:rPr>
        <w:t xml:space="preserve"> </w:t>
      </w:r>
      <w:r>
        <w:rPr>
          <w:rFonts w:hint="eastAsia" w:ascii="宋体" w:hAnsi="宋体" w:eastAsia="宋体" w:cs="宋体"/>
          <w:color w:val="000000"/>
          <w:sz w:val="24"/>
          <w:szCs w:val="24"/>
          <w:highlight w:val="none"/>
        </w:rPr>
        <w:t xml:space="preserve">评标期间，评委会对投标文件中含义不明确、同类问题表述不一致或者有明显文字和计算错误的内容 ，有权要求投标人作出必要的澄清、说明或者补正。</w:t>
      </w:r>
      <w:bookmarkEnd w:id="139"/>
      <w:r/>
      <w:bookmarkEnd w:id="140"/>
      <w:r/>
      <w:bookmarkEnd w:id="141"/>
      <w:r/>
      <w:r/>
    </w:p>
    <w:p>
      <w:pPr>
        <w:pStyle w:val="856"/>
        <w:ind w:firstLine="480"/>
        <w:jc w:val="both"/>
        <w:pageBreakBefore w:val="0"/>
        <w:spacing w:beforeAutospacing="0" w:afterAutospacing="0" w:line="460" w:lineRule="exact"/>
        <w:widowControl w:val="off"/>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投标人的澄清、说明或者补正不得超出投标文件的范围或者改变投标文件的实质性内容。</w:t>
      </w:r>
      <w:r/>
    </w:p>
    <w:p>
      <w:pPr>
        <w:pStyle w:val="856"/>
        <w:ind w:firstLine="480"/>
        <w:jc w:val="both"/>
        <w:pageBreakBefore w:val="0"/>
        <w:spacing w:beforeAutospacing="0" w:afterAutospacing="0" w:line="46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000000"/>
          <w:sz w:val="24"/>
          <w:szCs w:val="24"/>
          <w:highlight w:val="none"/>
        </w:rPr>
        <w:t xml:space="preserve">评标委员会并非对每个投标人都做澄清要求。</w:t>
      </w:r>
      <w:r/>
    </w:p>
    <w:p>
      <w:pPr>
        <w:pStyle w:val="856"/>
        <w:ind w:firstLine="480"/>
        <w:jc w:val="both"/>
        <w:pageBreakBefore w:val="0"/>
        <w:spacing w:beforeAutospacing="0" w:afterAutospacing="0" w:line="46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25.2</w:t>
      </w:r>
      <w:r>
        <w:rPr>
          <w:rFonts w:hint="eastAsia" w:ascii="宋体" w:hAnsi="宋体" w:eastAsia="宋体" w:cs="宋体"/>
          <w:color w:val="auto"/>
          <w:sz w:val="24"/>
          <w:szCs w:val="24"/>
          <w:highlight w:val="none"/>
          <w:lang w:val="en-US" w:eastAsia="zh-CN"/>
        </w:rPr>
        <w:t xml:space="preserve"> </w:t>
      </w:r>
      <w:r>
        <w:rPr>
          <w:rFonts w:hint="eastAsia" w:ascii="宋体" w:hAnsi="宋体" w:eastAsia="宋体" w:cs="宋体"/>
          <w:color w:val="auto"/>
          <w:sz w:val="24"/>
          <w:szCs w:val="24"/>
          <w:highlight w:val="none"/>
        </w:rPr>
        <w:t xml:space="preserve">需要供应商进行澄清、说明和补正的，评委会将通过苏采云系统向供应商发出“澄清要求函”，接到“澄清要求函”的投标人应当按照要求在苏采云系统中提交“澄清响应函”并加盖CA电子公章。澄清、说明和补正的内容作为投标文件的补充部分，具体操作方式见《操作手册》。</w:t>
      </w:r>
      <w:r/>
    </w:p>
    <w:p>
      <w:pPr>
        <w:pStyle w:val="856"/>
        <w:ind w:firstLine="480"/>
        <w:jc w:val="both"/>
        <w:pageBreakBefore w:val="0"/>
        <w:spacing w:beforeAutospacing="0" w:afterAutospacing="0" w:line="460" w:lineRule="exact"/>
        <w:widowControl w:val="off"/>
        <w:rPr>
          <w:rFonts w:hint="eastAsia" w:ascii="宋体" w:hAnsi="宋体" w:eastAsia="宋体" w:cs="宋体"/>
          <w:sz w:val="24"/>
          <w:szCs w:val="24"/>
          <w:highlight w:val="none"/>
        </w:rPr>
      </w:pPr>
      <w:r>
        <w:rPr>
          <w:rFonts w:hint="eastAsia" w:ascii="宋体" w:hAnsi="宋体" w:eastAsia="宋体" w:cs="宋体"/>
          <w:color w:val="auto"/>
          <w:sz w:val="24"/>
          <w:szCs w:val="24"/>
          <w:highlight w:val="none"/>
        </w:rPr>
        <w:t xml:space="preserve">25.3 接到评委会澄清、说明和补正要求的投标人如未按规定做出澄清、</w:t>
      </w:r>
      <w:r>
        <w:rPr>
          <w:rFonts w:hint="eastAsia" w:ascii="宋体" w:hAnsi="宋体" w:eastAsia="宋体" w:cs="宋体"/>
          <w:color w:val="000000"/>
          <w:sz w:val="24"/>
          <w:szCs w:val="24"/>
          <w:highlight w:val="none"/>
        </w:rPr>
        <w:t xml:space="preserve">说明和补正，其风险由投标人自行承担。</w:t>
      </w:r>
      <w:r/>
    </w:p>
    <w:p>
      <w:pPr>
        <w:pStyle w:val="856"/>
        <w:ind w:firstLine="480"/>
        <w:jc w:val="both"/>
        <w:keepLines/>
        <w:keepNext/>
        <w:pageBreakBefore w:val="0"/>
        <w:spacing w:beforeAutospacing="0" w:afterAutospacing="0" w:line="460" w:lineRule="exact"/>
        <w:widowControl w:val="off"/>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26、对投标文件的初审</w:t>
      </w:r>
      <w:r/>
    </w:p>
    <w:p>
      <w:pPr>
        <w:pStyle w:val="856"/>
        <w:ind w:firstLine="480"/>
        <w:jc w:val="both"/>
        <w:pageBreakBefore w:val="0"/>
        <w:spacing w:beforeAutospacing="0" w:afterAutospacing="0" w:line="460" w:lineRule="exact"/>
        <w:widowControl w:val="off"/>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26.1</w:t>
      </w:r>
      <w:r>
        <w:rPr>
          <w:rFonts w:hint="eastAsia" w:ascii="宋体" w:hAnsi="宋体" w:eastAsia="宋体" w:cs="宋体"/>
          <w:color w:val="000000"/>
          <w:sz w:val="24"/>
          <w:szCs w:val="24"/>
          <w:highlight w:val="none"/>
          <w:lang w:val="en-US" w:eastAsia="zh-CN"/>
        </w:rPr>
        <w:t xml:space="preserve"> </w:t>
      </w:r>
      <w:r>
        <w:rPr>
          <w:rFonts w:hint="eastAsia" w:ascii="宋体" w:hAnsi="宋体" w:eastAsia="宋体" w:cs="宋体"/>
          <w:color w:val="000000"/>
          <w:sz w:val="24"/>
          <w:szCs w:val="24"/>
          <w:highlight w:val="none"/>
        </w:rPr>
        <w:t xml:space="preserve">投标文件初审分为资格审查和符合性审查。</w:t>
      </w:r>
      <w:r/>
    </w:p>
    <w:p>
      <w:pPr>
        <w:pStyle w:val="856"/>
        <w:ind w:firstLine="480"/>
        <w:jc w:val="both"/>
        <w:pageBreakBefore w:val="0"/>
        <w:spacing w:beforeAutospacing="0" w:afterAutospacing="0" w:line="460" w:lineRule="exact"/>
        <w:widowControl w:val="off"/>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26.1.1 资格审查：依据法律法规和招标文件的规定，由采购人对投标文件中的资格证明文件进行审查。资格审查的结论，采购人以书面形式向评委会进行反馈。</w:t>
      </w:r>
      <w:r/>
    </w:p>
    <w:p>
      <w:pPr>
        <w:pStyle w:val="856"/>
        <w:ind w:firstLine="480"/>
        <w:jc w:val="both"/>
        <w:pageBreakBefore w:val="0"/>
        <w:spacing w:beforeAutospacing="0" w:afterAutospacing="0" w:line="460" w:lineRule="exact"/>
        <w:widowControl w:val="off"/>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采购人在进行资格性审查的同时，将在“信用中国”网站（www.creditchina.gov.cn）查询投标人的信用记录，以确定投标人是否具备投标资格,查询结果留存并归档。</w:t>
      </w:r>
      <w:r/>
    </w:p>
    <w:p>
      <w:pPr>
        <w:pStyle w:val="856"/>
        <w:ind w:firstLine="480"/>
        <w:jc w:val="both"/>
        <w:pageBreakBefore w:val="0"/>
        <w:spacing w:beforeAutospacing="0" w:afterAutospacing="0" w:line="460" w:lineRule="exact"/>
        <w:widowControl w:val="off"/>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26.1.2 符合性审查：依据招标文件的规定，由评委会从投标文件的有效性、完整性和对招标文件的响应程度进行审查，以确定是否对招标文件的实质性要求作出响应。</w:t>
      </w:r>
      <w:r/>
    </w:p>
    <w:p>
      <w:pPr>
        <w:pStyle w:val="856"/>
        <w:ind w:firstLine="480"/>
        <w:jc w:val="both"/>
        <w:pageBreakBefore w:val="0"/>
        <w:spacing w:beforeAutospacing="0" w:afterAutospacing="0" w:line="46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000000"/>
          <w:sz w:val="24"/>
          <w:szCs w:val="24"/>
          <w:highlight w:val="none"/>
        </w:rPr>
        <w:t xml:space="preserve">26.1.3 未通过资格审查或符合性审查的投标人，</w:t>
      </w:r>
      <w:r>
        <w:rPr>
          <w:rFonts w:hint="eastAsia" w:ascii="宋体" w:hAnsi="宋体" w:eastAsia="宋体" w:cs="宋体"/>
          <w:color w:val="000000"/>
          <w:sz w:val="24"/>
          <w:szCs w:val="24"/>
          <w:highlight w:val="none"/>
          <w:lang w:eastAsia="zh-CN"/>
        </w:rPr>
        <w:t xml:space="preserve">采购代理机构</w:t>
      </w:r>
      <w:r>
        <w:rPr>
          <w:rFonts w:hint="eastAsia" w:ascii="宋体" w:hAnsi="宋体" w:eastAsia="宋体" w:cs="宋体"/>
          <w:color w:val="000000"/>
          <w:sz w:val="24"/>
          <w:szCs w:val="24"/>
          <w:highlight w:val="none"/>
        </w:rPr>
        <w:t xml:space="preserve">将</w:t>
      </w:r>
      <w:r>
        <w:rPr>
          <w:rFonts w:hint="eastAsia" w:ascii="宋体" w:hAnsi="宋体" w:eastAsia="宋体" w:cs="宋体"/>
          <w:color w:val="auto"/>
          <w:sz w:val="24"/>
          <w:szCs w:val="24"/>
          <w:highlight w:val="none"/>
        </w:rPr>
        <w:t xml:space="preserve">在苏采云系统中告知未通过资格审查或符合性审查的原因，评审结束后，</w:t>
      </w:r>
      <w:r>
        <w:rPr>
          <w:rFonts w:hint="eastAsia" w:ascii="宋体" w:hAnsi="宋体" w:eastAsia="宋体" w:cs="宋体"/>
          <w:color w:val="auto"/>
          <w:sz w:val="24"/>
          <w:szCs w:val="24"/>
          <w:highlight w:val="none"/>
          <w:lang w:eastAsia="zh-CN"/>
        </w:rPr>
        <w:t xml:space="preserve">采购代理机构</w:t>
      </w:r>
      <w:r>
        <w:rPr>
          <w:rFonts w:hint="eastAsia" w:ascii="宋体" w:hAnsi="宋体" w:eastAsia="宋体" w:cs="宋体"/>
          <w:color w:val="auto"/>
          <w:sz w:val="24"/>
          <w:szCs w:val="24"/>
          <w:highlight w:val="none"/>
        </w:rPr>
        <w:t xml:space="preserve">将不再告知未通过资格审查或符合性审查的原因。</w:t>
      </w:r>
      <w:r/>
    </w:p>
    <w:p>
      <w:pPr>
        <w:pStyle w:val="856"/>
        <w:ind w:firstLine="480"/>
        <w:jc w:val="both"/>
        <w:pageBreakBefore w:val="0"/>
        <w:spacing w:beforeAutospacing="0" w:afterAutospacing="0" w:line="460" w:lineRule="exact"/>
        <w:widowControl w:val="off"/>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26.2</w:t>
      </w:r>
      <w:r>
        <w:rPr>
          <w:rFonts w:hint="eastAsia" w:ascii="宋体" w:hAnsi="宋体" w:eastAsia="宋体" w:cs="宋体"/>
          <w:color w:val="000000"/>
          <w:sz w:val="24"/>
          <w:szCs w:val="24"/>
          <w:highlight w:val="none"/>
          <w:lang w:val="en-US" w:eastAsia="zh-CN"/>
        </w:rPr>
        <w:t xml:space="preserve"> </w:t>
      </w:r>
      <w:r>
        <w:rPr>
          <w:rFonts w:hint="eastAsia" w:ascii="宋体" w:hAnsi="宋体" w:eastAsia="宋体" w:cs="宋体"/>
          <w:color w:val="000000"/>
          <w:sz w:val="24"/>
          <w:szCs w:val="24"/>
          <w:highlight w:val="none"/>
        </w:rPr>
        <w:t xml:space="preserve">在详细评标之前，评委会将首先审查每份投标文件是否实质性响应了招标文件的要求。实质性响应的投标应该是与招标文件要求的全部条款、条件和规格相符，没有重大偏离或保留的投标。</w:t>
      </w:r>
      <w:r/>
    </w:p>
    <w:p>
      <w:pPr>
        <w:pStyle w:val="856"/>
        <w:ind w:firstLine="480"/>
        <w:jc w:val="both"/>
        <w:pageBreakBefore w:val="0"/>
        <w:spacing w:beforeAutospacing="0" w:afterAutospacing="0" w:line="460" w:lineRule="exact"/>
        <w:widowControl w:val="off"/>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所谓重大偏离或保留是指与招标文件规定的实质性要求存在负偏离，或者在实质上与招标文件不一致，而且限制了合同中买方和</w:t>
      </w:r>
      <w:r>
        <w:rPr>
          <w:rFonts w:hint="eastAsia" w:ascii="宋体" w:hAnsi="宋体" w:eastAsia="宋体" w:cs="宋体"/>
          <w:color w:val="000000"/>
          <w:sz w:val="24"/>
          <w:szCs w:val="24"/>
          <w:highlight w:val="none"/>
          <w:lang w:eastAsia="zh-CN"/>
        </w:rPr>
        <w:t xml:space="preserve">采购代理机构</w:t>
      </w:r>
      <w:r>
        <w:rPr>
          <w:rFonts w:hint="eastAsia" w:ascii="宋体" w:hAnsi="宋体" w:eastAsia="宋体" w:cs="宋体"/>
          <w:color w:val="000000"/>
          <w:sz w:val="24"/>
          <w:szCs w:val="24"/>
          <w:highlight w:val="none"/>
        </w:rPr>
        <w:t xml:space="preserve">的权利或投标人的义务，纠正这些偏离或保留将会对其他实质性响应要求的投标人的竞争地位产生不公正的影响。重大偏离的认定需经过评委会以少数服从多数的原则作出结论。评委决定投标文件的响应性只根据投标文件本身的内容，而不寻求外部的证据。</w:t>
      </w:r>
      <w:r/>
    </w:p>
    <w:p>
      <w:pPr>
        <w:pStyle w:val="856"/>
        <w:ind w:firstLine="480"/>
        <w:jc w:val="both"/>
        <w:pageBreakBefore w:val="0"/>
        <w:spacing w:beforeAutospacing="0" w:afterAutospacing="0" w:line="460" w:lineRule="exact"/>
        <w:widowControl w:val="off"/>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26.3</w:t>
      </w:r>
      <w:r>
        <w:rPr>
          <w:rFonts w:hint="eastAsia" w:ascii="宋体" w:hAnsi="宋体" w:eastAsia="宋体" w:cs="宋体"/>
          <w:color w:val="000000"/>
          <w:sz w:val="24"/>
          <w:szCs w:val="24"/>
          <w:highlight w:val="none"/>
          <w:lang w:val="en-US" w:eastAsia="zh-CN"/>
        </w:rPr>
        <w:t xml:space="preserve"> </w:t>
      </w:r>
      <w:r>
        <w:rPr>
          <w:rFonts w:hint="eastAsia" w:ascii="宋体" w:hAnsi="宋体" w:eastAsia="宋体" w:cs="宋体"/>
          <w:color w:val="000000"/>
          <w:sz w:val="24"/>
          <w:szCs w:val="24"/>
          <w:highlight w:val="none"/>
        </w:rPr>
        <w:t xml:space="preserve">如果投标文件实质上没有响应招标文件的要求，评委会将予以拒绝，投标人不得通过修改或撤销不合要求的偏离或保留而使其投标成为实质性响应的投标。</w:t>
      </w:r>
      <w:r/>
    </w:p>
    <w:p>
      <w:pPr>
        <w:pStyle w:val="856"/>
        <w:ind w:firstLine="480"/>
        <w:jc w:val="both"/>
        <w:pageBreakBefore w:val="0"/>
        <w:spacing w:beforeAutospacing="0" w:afterAutospacing="0" w:line="460" w:lineRule="exact"/>
        <w:widowControl w:val="off"/>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26.4</w:t>
      </w:r>
      <w:r>
        <w:rPr>
          <w:rFonts w:hint="eastAsia" w:ascii="宋体" w:hAnsi="宋体" w:eastAsia="宋体" w:cs="宋体"/>
          <w:color w:val="000000"/>
          <w:sz w:val="24"/>
          <w:szCs w:val="24"/>
          <w:highlight w:val="none"/>
          <w:lang w:val="en-US" w:eastAsia="zh-CN"/>
        </w:rPr>
        <w:t xml:space="preserve"> </w:t>
      </w:r>
      <w:r>
        <w:rPr>
          <w:rFonts w:hint="eastAsia" w:ascii="宋体" w:hAnsi="宋体" w:eastAsia="宋体" w:cs="宋体"/>
          <w:color w:val="000000"/>
          <w:sz w:val="24"/>
          <w:szCs w:val="24"/>
          <w:highlight w:val="none"/>
        </w:rPr>
        <w:t xml:space="preserve">评委会将对确定为实质性响应的投标进行进一步审核，看其是否有计算上或累加上的算术错误，修正错误的原则如下：</w:t>
      </w:r>
      <w:r/>
    </w:p>
    <w:p>
      <w:pPr>
        <w:pStyle w:val="856"/>
        <w:ind w:firstLine="480"/>
        <w:jc w:val="both"/>
        <w:pageBreakBefore w:val="0"/>
        <w:spacing w:beforeAutospacing="0" w:afterAutospacing="0" w:line="460" w:lineRule="exact"/>
        <w:widowControl w:val="off"/>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（1）投标文件中开标一览表内容与投标文件中相应内容不一致的，以开标一览表为准。</w:t>
      </w:r>
      <w:r/>
    </w:p>
    <w:p>
      <w:pPr>
        <w:pStyle w:val="856"/>
        <w:ind w:firstLine="480"/>
        <w:jc w:val="both"/>
        <w:pageBreakBefore w:val="0"/>
        <w:spacing w:beforeAutospacing="0" w:afterAutospacing="0" w:line="460" w:lineRule="exact"/>
        <w:widowControl w:val="off"/>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（2）大写金额和小写金额不一致的，以大写金额为准。</w:t>
      </w:r>
      <w:r/>
    </w:p>
    <w:p>
      <w:pPr>
        <w:pStyle w:val="856"/>
        <w:ind w:firstLine="480"/>
        <w:jc w:val="both"/>
        <w:pageBreakBefore w:val="0"/>
        <w:spacing w:beforeAutospacing="0" w:afterAutospacing="0" w:line="460" w:lineRule="exact"/>
        <w:widowControl w:val="off"/>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（3）单价金额小数点或者百分比有明显错位的，以开标一览表的总价为准，并修改单价。</w:t>
      </w:r>
      <w:r/>
    </w:p>
    <w:p>
      <w:pPr>
        <w:pStyle w:val="856"/>
        <w:ind w:firstLine="480"/>
        <w:jc w:val="both"/>
        <w:pageBreakBefore w:val="0"/>
        <w:spacing w:beforeAutospacing="0" w:afterAutospacing="0" w:line="460" w:lineRule="exact"/>
        <w:widowControl w:val="off"/>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（4）总价金额与按单价汇总金额不一致的，以单价金额计算结果为准。</w:t>
      </w:r>
      <w:r/>
    </w:p>
    <w:p>
      <w:pPr>
        <w:pStyle w:val="856"/>
        <w:ind w:firstLine="480"/>
        <w:jc w:val="both"/>
        <w:pageBreakBefore w:val="0"/>
        <w:spacing w:beforeAutospacing="0" w:afterAutospacing="0" w:line="460" w:lineRule="exact"/>
        <w:widowControl w:val="off"/>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同时出现两种以上错误的，按照前款规定的顺序修正。</w:t>
      </w:r>
      <w:r/>
    </w:p>
    <w:p>
      <w:pPr>
        <w:pStyle w:val="856"/>
        <w:ind w:firstLine="480"/>
        <w:jc w:val="both"/>
        <w:pageBreakBefore w:val="0"/>
        <w:spacing w:beforeAutospacing="0" w:afterAutospacing="0" w:line="46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26.5</w:t>
      </w:r>
      <w:r>
        <w:rPr>
          <w:rFonts w:hint="eastAsia" w:ascii="宋体" w:hAnsi="宋体" w:eastAsia="宋体" w:cs="宋体"/>
          <w:color w:val="auto"/>
          <w:sz w:val="24"/>
          <w:szCs w:val="24"/>
          <w:highlight w:val="none"/>
          <w:lang w:val="en-US" w:eastAsia="zh-CN"/>
        </w:rPr>
        <w:t xml:space="preserve"> </w:t>
      </w:r>
      <w:r>
        <w:rPr>
          <w:rFonts w:hint="eastAsia" w:ascii="宋体" w:hAnsi="宋体" w:eastAsia="宋体" w:cs="宋体"/>
          <w:color w:val="auto"/>
          <w:sz w:val="24"/>
          <w:szCs w:val="24"/>
          <w:highlight w:val="none"/>
        </w:rPr>
        <w:t xml:space="preserve">评委会将按上述修正错误的方法调整投标文件中的投标报价，并通过苏采云系统告知投标人，调整后的价格应对投标人具有约束力。如果投标人不接受修正后的价格，则其投标将被拒绝。</w:t>
      </w:r>
      <w:r/>
    </w:p>
    <w:p>
      <w:pPr>
        <w:pStyle w:val="856"/>
        <w:ind w:firstLine="480"/>
        <w:jc w:val="both"/>
        <w:pageBreakBefore w:val="0"/>
        <w:spacing w:beforeAutospacing="0" w:afterAutospacing="0" w:line="460" w:lineRule="exact"/>
        <w:widowControl w:val="off"/>
        <w:rPr>
          <w:rFonts w:hint="eastAsia" w:ascii="宋体" w:hAnsi="宋体" w:eastAsia="宋体" w:cs="宋体"/>
          <w:sz w:val="24"/>
          <w:szCs w:val="24"/>
          <w:highlight w:val="none"/>
        </w:rPr>
      </w:pPr>
      <w:r/>
      <w:bookmarkStart w:id="142" w:name="_Toc16938550"/>
      <w:r/>
      <w:bookmarkStart w:id="143" w:name="_Toc513029234"/>
      <w:r/>
      <w:bookmarkStart w:id="144" w:name="_Toc20823306"/>
      <w:r>
        <w:rPr>
          <w:rFonts w:hint="eastAsia" w:ascii="宋体" w:hAnsi="宋体" w:eastAsia="宋体" w:cs="宋体"/>
          <w:color w:val="000000"/>
          <w:sz w:val="24"/>
          <w:szCs w:val="24"/>
          <w:highlight w:val="none"/>
        </w:rPr>
        <w:t xml:space="preserve">26.6</w:t>
      </w:r>
      <w:r>
        <w:rPr>
          <w:rFonts w:hint="eastAsia" w:ascii="宋体" w:hAnsi="宋体" w:eastAsia="宋体" w:cs="宋体"/>
          <w:color w:val="000000"/>
          <w:sz w:val="24"/>
          <w:szCs w:val="24"/>
          <w:highlight w:val="none"/>
          <w:lang w:val="en-US" w:eastAsia="zh-CN"/>
        </w:rPr>
        <w:t xml:space="preserve"> </w:t>
      </w:r>
      <w:r>
        <w:rPr>
          <w:rFonts w:hint="eastAsia" w:ascii="宋体" w:hAnsi="宋体" w:eastAsia="宋体" w:cs="宋体"/>
          <w:color w:val="000000"/>
          <w:sz w:val="24"/>
          <w:szCs w:val="24"/>
          <w:highlight w:val="none"/>
        </w:rPr>
        <w:t xml:space="preserve">采用最低评标价法的采购项目，提供相同品牌产品的不同投标人参加同一合同项下投标的，以其中通过资格审查、符合性审查且报价最低的参加评标；报价相同的，由评标委员会按照招标文件规定的方式（招标文件未规定的通过随机抽取的方式）确定一个参加评标的投标人，其他投标无效。</w:t>
      </w:r>
      <w:bookmarkEnd w:id="142"/>
      <w:r/>
      <w:bookmarkEnd w:id="143"/>
      <w:r/>
      <w:bookmarkEnd w:id="144"/>
      <w:r/>
      <w:r/>
    </w:p>
    <w:p>
      <w:pPr>
        <w:pStyle w:val="856"/>
        <w:ind w:firstLine="480"/>
        <w:jc w:val="both"/>
        <w:pageBreakBefore w:val="0"/>
        <w:spacing w:beforeAutospacing="0" w:afterAutospacing="0" w:line="460" w:lineRule="exact"/>
        <w:widowControl w:val="off"/>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使用综合评分法的采购项目，提供相同品牌产品且通过资格审查、符合性审查的不同投标人参加同一合同项下投标的，按一家投标人计算，评审后得分最高的同品牌投标人获得中标人推荐资格；评审得分相同的，由评标委员会根据招标文件规定的方式（招标文件未规定的采取随机抽取的方式）确定一个中标候选人，其他同品牌投标人不作为中标候选人。</w:t>
      </w:r>
      <w:r/>
    </w:p>
    <w:p>
      <w:pPr>
        <w:pStyle w:val="856"/>
        <w:ind w:firstLine="480"/>
        <w:jc w:val="both"/>
        <w:pageBreakBefore w:val="0"/>
        <w:spacing w:beforeAutospacing="0" w:afterAutospacing="0" w:line="46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000000"/>
          <w:sz w:val="24"/>
          <w:szCs w:val="24"/>
          <w:highlight w:val="none"/>
        </w:rPr>
        <w:t xml:space="preserve">非单一产品采购项目，招标文件中将载明其中的核心产品。多家投标人提供的核心产品品牌相同的，按前两款规定处理。</w:t>
      </w:r>
      <w:r/>
    </w:p>
    <w:p>
      <w:pPr>
        <w:pStyle w:val="856"/>
        <w:ind w:firstLine="480"/>
        <w:jc w:val="both"/>
        <w:pageBreakBefore w:val="0"/>
        <w:spacing w:beforeAutospacing="0" w:afterAutospacing="0" w:line="46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26.7</w:t>
      </w:r>
      <w:r>
        <w:rPr>
          <w:rFonts w:hint="eastAsia" w:ascii="宋体" w:hAnsi="宋体" w:eastAsia="宋体" w:cs="宋体"/>
          <w:color w:val="auto"/>
          <w:sz w:val="24"/>
          <w:szCs w:val="24"/>
          <w:highlight w:val="none"/>
          <w:lang w:val="en-US" w:eastAsia="zh-CN"/>
        </w:rPr>
        <w:t xml:space="preserve"> </w:t>
      </w:r>
      <w:r>
        <w:rPr>
          <w:rFonts w:hint="eastAsia" w:ascii="宋体" w:hAnsi="宋体" w:eastAsia="宋体" w:cs="宋体"/>
          <w:color w:val="auto"/>
          <w:sz w:val="24"/>
          <w:szCs w:val="24"/>
          <w:highlight w:val="none"/>
        </w:rPr>
        <w:t xml:space="preserve">投标人在开、评标全过程中应保持通讯畅通，及时登录苏采云系统查阅、答复相关信息，并安排专人与</w:t>
      </w:r>
      <w:r>
        <w:rPr>
          <w:rFonts w:hint="eastAsia" w:ascii="宋体" w:hAnsi="宋体" w:eastAsia="宋体" w:cs="宋体"/>
          <w:color w:val="auto"/>
          <w:sz w:val="24"/>
          <w:szCs w:val="24"/>
          <w:highlight w:val="none"/>
          <w:lang w:eastAsia="zh-CN"/>
        </w:rPr>
        <w:t xml:space="preserve">采购代理机构</w:t>
      </w:r>
      <w:r>
        <w:rPr>
          <w:rFonts w:hint="eastAsia" w:ascii="宋体" w:hAnsi="宋体" w:eastAsia="宋体" w:cs="宋体"/>
          <w:color w:val="auto"/>
          <w:sz w:val="24"/>
          <w:szCs w:val="24"/>
          <w:highlight w:val="none"/>
        </w:rPr>
        <w:t xml:space="preserve">及评标委员会联系。</w:t>
      </w:r>
      <w:r/>
    </w:p>
    <w:p>
      <w:pPr>
        <w:pStyle w:val="856"/>
        <w:ind w:firstLine="480"/>
        <w:jc w:val="both"/>
        <w:pageBreakBefore w:val="0"/>
        <w:spacing w:beforeAutospacing="0" w:afterAutospacing="0" w:line="460" w:lineRule="exact"/>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rPr>
        <w:t xml:space="preserve">26.</w:t>
      </w:r>
      <w:r>
        <w:rPr>
          <w:rFonts w:hint="eastAsia" w:ascii="宋体" w:hAnsi="宋体" w:eastAsia="宋体" w:cs="宋体"/>
          <w:color w:val="auto"/>
          <w:sz w:val="24"/>
          <w:szCs w:val="24"/>
          <w:highlight w:val="none"/>
          <w:lang w:val="en-US" w:eastAsia="zh-CN"/>
        </w:rPr>
        <w:t xml:space="preserve">8 评审委员会启动异常低价投标（响应）审查的情形和具体要求：</w:t>
      </w:r>
      <w:r/>
    </w:p>
    <w:p>
      <w:pPr>
        <w:pStyle w:val="856"/>
        <w:ind w:firstLine="480"/>
        <w:jc w:val="both"/>
        <w:pageBreakBefore w:val="0"/>
        <w:spacing w:beforeAutospacing="0" w:afterAutospacing="0" w:line="460" w:lineRule="exact"/>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26.8.1 评审过程中出现下列情形之一的，评审委员会应当启动异常低价投标（响应）审查程序：</w:t>
      </w:r>
      <w:r/>
    </w:p>
    <w:p>
      <w:pPr>
        <w:pStyle w:val="856"/>
        <w:ind w:firstLine="480"/>
        <w:jc w:val="both"/>
        <w:pageBreakBefore w:val="0"/>
        <w:spacing w:beforeAutospacing="0" w:afterAutospacing="0" w:line="460" w:lineRule="exact"/>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（1）投标（响应）报价低于采购项目预算50%的，即投标（响应）报价&lt;采购项目预算×50%；</w:t>
      </w:r>
      <w:r/>
    </w:p>
    <w:p>
      <w:pPr>
        <w:pStyle w:val="856"/>
        <w:ind w:firstLine="480"/>
        <w:jc w:val="both"/>
        <w:pageBreakBefore w:val="0"/>
        <w:spacing w:beforeAutospacing="0" w:afterAutospacing="0" w:line="460" w:lineRule="exact"/>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（2）投标（响应）报价低于采购项目最高限价45%的，即投标（响应）报价&lt;采购项目最高限价×45%;</w:t>
      </w:r>
      <w:r/>
    </w:p>
    <w:p>
      <w:pPr>
        <w:pStyle w:val="856"/>
        <w:ind w:firstLine="480"/>
        <w:jc w:val="both"/>
        <w:pageBreakBefore w:val="0"/>
        <w:spacing w:beforeAutospacing="0" w:afterAutospacing="0" w:line="460" w:lineRule="exact"/>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（3）评审委员会认定的供应商报价过低、有可能影响产品质量或者不能诚信履约的其他情形。</w:t>
      </w:r>
      <w:r/>
    </w:p>
    <w:p>
      <w:pPr>
        <w:pStyle w:val="856"/>
        <w:ind w:firstLine="480"/>
        <w:jc w:val="both"/>
        <w:pageBreakBefore w:val="0"/>
        <w:spacing w:beforeAutospacing="0" w:afterAutospacing="0" w:line="46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26.8.2 启动异常低价投标（响应）审查后，评审委员会应当要求相关供应商在评标现场合理的时间内，提供项目具体成本测算等与报价合理性相关的书面说明及相关证明材料，对投标（响应）价格作出解释，由评审委员会结合同类产品在主要电商平台的价格、该行业当地薪资水平等情况，依据专业经验对供应商报价合理性进行判断。投标（响应）供应商不提供书面说明、证明材料，或者提供的书面说明、证明材料不能证明其报价合理性的，评审委员会应当将其作为无效投标（响应）处理。审查相关情况应当在评审报告中进行记录。</w:t>
      </w:r>
      <w:r/>
    </w:p>
    <w:p>
      <w:pPr>
        <w:pStyle w:val="856"/>
        <w:ind w:firstLine="480"/>
        <w:jc w:val="both"/>
        <w:keepLines/>
        <w:keepNext/>
        <w:pageBreakBefore w:val="0"/>
        <w:spacing w:beforeAutospacing="0" w:afterAutospacing="0" w:line="46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27、无效投标条款和废标条款</w:t>
      </w:r>
      <w:r/>
    </w:p>
    <w:p>
      <w:pPr>
        <w:pStyle w:val="856"/>
        <w:ind w:firstLine="480"/>
        <w:jc w:val="both"/>
        <w:pageBreakBefore w:val="0"/>
        <w:spacing w:beforeAutospacing="0" w:afterAutospacing="0" w:line="460" w:lineRule="exact"/>
        <w:widowControl w:val="off"/>
        <w:rPr>
          <w:rFonts w:hint="eastAsia" w:ascii="宋体" w:hAnsi="宋体" w:eastAsia="宋体" w:cs="宋体"/>
          <w:color w:val="auto"/>
          <w:sz w:val="24"/>
          <w:szCs w:val="24"/>
          <w:highlight w:val="none"/>
        </w:rPr>
      </w:pPr>
      <w:r/>
      <w:bookmarkStart w:id="145" w:name="_Toc20823307"/>
      <w:r/>
      <w:bookmarkStart w:id="146" w:name="_Toc513029235"/>
      <w:r/>
      <w:bookmarkStart w:id="147" w:name="_Toc16938551"/>
      <w:r>
        <w:rPr>
          <w:rFonts w:hint="eastAsia" w:ascii="宋体" w:hAnsi="宋体" w:eastAsia="宋体" w:cs="宋体"/>
          <w:color w:val="auto"/>
          <w:sz w:val="24"/>
          <w:szCs w:val="24"/>
          <w:highlight w:val="none"/>
        </w:rPr>
        <w:t xml:space="preserve">27.1</w:t>
      </w:r>
      <w:r>
        <w:rPr>
          <w:rFonts w:hint="eastAsia" w:ascii="宋体" w:hAnsi="宋体" w:eastAsia="宋体" w:cs="宋体"/>
          <w:color w:val="auto"/>
          <w:sz w:val="24"/>
          <w:szCs w:val="24"/>
          <w:highlight w:val="none"/>
          <w:lang w:val="en-US" w:eastAsia="zh-CN"/>
        </w:rPr>
        <w:t xml:space="preserve"> </w:t>
      </w:r>
      <w:r>
        <w:rPr>
          <w:rFonts w:hint="eastAsia" w:ascii="宋体" w:hAnsi="宋体" w:eastAsia="宋体" w:cs="宋体"/>
          <w:color w:val="auto"/>
          <w:sz w:val="24"/>
          <w:szCs w:val="24"/>
          <w:highlight w:val="none"/>
        </w:rPr>
        <w:t xml:space="preserve">无效投标条款</w:t>
      </w:r>
      <w:bookmarkEnd w:id="145"/>
      <w:r/>
      <w:bookmarkEnd w:id="146"/>
      <w:r/>
      <w:bookmarkEnd w:id="147"/>
      <w:r/>
      <w:r/>
    </w:p>
    <w:p>
      <w:pPr>
        <w:pStyle w:val="856"/>
        <w:ind w:firstLine="480"/>
        <w:jc w:val="both"/>
        <w:pageBreakBefore w:val="0"/>
        <w:spacing w:beforeAutospacing="0" w:afterAutospacing="0" w:line="46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27.1.1 投标人在苏采云系统规定的时间内未成功解密电子投标文件的。</w:t>
      </w:r>
      <w:r/>
    </w:p>
    <w:p>
      <w:pPr>
        <w:pStyle w:val="856"/>
        <w:ind w:firstLine="480"/>
        <w:jc w:val="both"/>
        <w:pageBreakBefore w:val="0"/>
        <w:spacing w:beforeAutospacing="0" w:afterAutospacing="0" w:line="46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27.1.2 投标人未按照招标文件要求上传电子投标文件的。</w:t>
      </w:r>
      <w:r/>
    </w:p>
    <w:p>
      <w:pPr>
        <w:pStyle w:val="856"/>
        <w:ind w:firstLine="480"/>
        <w:jc w:val="both"/>
        <w:pageBreakBefore w:val="0"/>
        <w:spacing w:beforeAutospacing="0" w:afterAutospacing="0" w:line="460" w:lineRule="exact"/>
        <w:widowControl w:val="off"/>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27.1.3</w:t>
      </w:r>
      <w:r>
        <w:rPr>
          <w:rFonts w:hint="eastAsia" w:ascii="宋体" w:hAnsi="宋体" w:eastAsia="宋体" w:cs="宋体"/>
          <w:color w:val="000000"/>
          <w:sz w:val="24"/>
          <w:szCs w:val="24"/>
          <w:highlight w:val="none"/>
          <w:lang w:val="en-US" w:eastAsia="zh-CN"/>
        </w:rPr>
        <w:t xml:space="preserve"> </w:t>
      </w:r>
      <w:r>
        <w:rPr>
          <w:rFonts w:hint="eastAsia" w:ascii="宋体" w:hAnsi="宋体" w:eastAsia="宋体" w:cs="宋体"/>
          <w:color w:val="000000"/>
          <w:sz w:val="24"/>
          <w:szCs w:val="24"/>
          <w:highlight w:val="none"/>
        </w:rPr>
        <w:t xml:space="preserve">同一投标人提交两个（含两个）以上不同的投标报价的。</w:t>
      </w:r>
      <w:r/>
    </w:p>
    <w:p>
      <w:pPr>
        <w:pStyle w:val="856"/>
        <w:ind w:firstLine="480"/>
        <w:jc w:val="both"/>
        <w:pageBreakBefore w:val="0"/>
        <w:spacing w:beforeAutospacing="0" w:afterAutospacing="0" w:line="460" w:lineRule="exact"/>
        <w:widowControl w:val="off"/>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27.1.4</w:t>
      </w:r>
      <w:r>
        <w:rPr>
          <w:rFonts w:hint="eastAsia" w:ascii="宋体" w:hAnsi="宋体" w:eastAsia="宋体" w:cs="宋体"/>
          <w:color w:val="000000"/>
          <w:sz w:val="24"/>
          <w:szCs w:val="24"/>
          <w:highlight w:val="none"/>
          <w:lang w:val="en-US" w:eastAsia="zh-CN"/>
        </w:rPr>
        <w:t xml:space="preserve"> </w:t>
      </w:r>
      <w:r>
        <w:rPr>
          <w:rFonts w:hint="eastAsia" w:ascii="宋体" w:hAnsi="宋体" w:eastAsia="宋体" w:cs="宋体"/>
          <w:color w:val="000000"/>
          <w:sz w:val="24"/>
          <w:szCs w:val="24"/>
          <w:highlight w:val="none"/>
        </w:rPr>
        <w:t xml:space="preserve">投标人不具备招标文件中规定资格要求的。</w:t>
      </w:r>
      <w:r/>
    </w:p>
    <w:p>
      <w:pPr>
        <w:pStyle w:val="856"/>
        <w:ind w:firstLine="480"/>
        <w:jc w:val="both"/>
        <w:pageBreakBefore w:val="0"/>
        <w:spacing w:beforeAutospacing="0" w:afterAutospacing="0" w:line="460" w:lineRule="exact"/>
        <w:widowControl w:val="off"/>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27.1.5</w:t>
      </w:r>
      <w:r>
        <w:rPr>
          <w:rFonts w:hint="eastAsia" w:ascii="宋体" w:hAnsi="宋体" w:eastAsia="宋体" w:cs="宋体"/>
          <w:color w:val="000000"/>
          <w:sz w:val="24"/>
          <w:szCs w:val="24"/>
          <w:highlight w:val="none"/>
          <w:lang w:val="en-US" w:eastAsia="zh-CN"/>
        </w:rPr>
        <w:t xml:space="preserve"> </w:t>
      </w:r>
      <w:r>
        <w:rPr>
          <w:rFonts w:hint="eastAsia" w:ascii="宋体" w:hAnsi="宋体" w:eastAsia="宋体" w:cs="宋体"/>
          <w:color w:val="000000"/>
          <w:sz w:val="24"/>
          <w:szCs w:val="24"/>
          <w:highlight w:val="none"/>
        </w:rPr>
        <w:t xml:space="preserve">投标人的报价超过了采购预算或最高限价的。</w:t>
      </w:r>
      <w:r/>
    </w:p>
    <w:p>
      <w:pPr>
        <w:pStyle w:val="856"/>
        <w:ind w:firstLine="480"/>
        <w:jc w:val="both"/>
        <w:pageBreakBefore w:val="0"/>
        <w:spacing w:beforeAutospacing="0" w:afterAutospacing="0" w:line="460" w:lineRule="exact"/>
        <w:widowControl w:val="off"/>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27.1.6</w:t>
      </w:r>
      <w:r>
        <w:rPr>
          <w:rFonts w:hint="eastAsia" w:ascii="宋体" w:hAnsi="宋体" w:eastAsia="宋体" w:cs="宋体"/>
          <w:color w:val="000000"/>
          <w:sz w:val="24"/>
          <w:szCs w:val="24"/>
          <w:highlight w:val="none"/>
          <w:lang w:val="en-US" w:eastAsia="zh-CN"/>
        </w:rPr>
        <w:t xml:space="preserve"> </w:t>
      </w:r>
      <w:r>
        <w:rPr>
          <w:rFonts w:hint="eastAsia" w:ascii="宋体" w:hAnsi="宋体" w:eastAsia="宋体" w:cs="宋体"/>
          <w:color w:val="000000"/>
          <w:sz w:val="24"/>
          <w:szCs w:val="24"/>
          <w:highlight w:val="none"/>
        </w:rPr>
        <w:t xml:space="preserve">未通过符合性审查的。</w:t>
      </w:r>
      <w:r/>
    </w:p>
    <w:p>
      <w:pPr>
        <w:pStyle w:val="856"/>
        <w:ind w:firstLine="480"/>
        <w:jc w:val="both"/>
        <w:pageBreakBefore w:val="0"/>
        <w:spacing w:beforeAutospacing="0" w:afterAutospacing="0" w:line="460" w:lineRule="exact"/>
        <w:widowControl w:val="off"/>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27.1.7</w:t>
      </w:r>
      <w:r>
        <w:rPr>
          <w:rFonts w:hint="eastAsia" w:ascii="宋体" w:hAnsi="宋体" w:eastAsia="宋体" w:cs="宋体"/>
          <w:color w:val="000000"/>
          <w:sz w:val="24"/>
          <w:szCs w:val="24"/>
          <w:highlight w:val="none"/>
          <w:lang w:val="en-US" w:eastAsia="zh-CN"/>
        </w:rPr>
        <w:t xml:space="preserve"> </w:t>
      </w:r>
      <w:r>
        <w:rPr>
          <w:rFonts w:hint="eastAsia" w:ascii="宋体" w:hAnsi="宋体" w:eastAsia="宋体" w:cs="宋体"/>
          <w:color w:val="000000"/>
          <w:sz w:val="24"/>
          <w:szCs w:val="24"/>
          <w:highlight w:val="none"/>
        </w:rPr>
        <w:t xml:space="preserve">不符合招标文件中规定的实质性要求和条件的（</w:t>
      </w:r>
      <w:r>
        <w:rPr>
          <w:rFonts w:hint="eastAsia" w:ascii="宋体" w:hAnsi="宋体" w:eastAsia="宋体" w:cs="宋体"/>
          <w:i/>
          <w:color w:val="000000"/>
          <w:sz w:val="24"/>
          <w:szCs w:val="24"/>
          <w:highlight w:val="none"/>
          <w:u w:val="single"/>
        </w:rPr>
        <w:t xml:space="preserve">本招标文件中斜体且有下划线部分为实质性要求和条件）。</w:t>
      </w:r>
      <w:r/>
    </w:p>
    <w:p>
      <w:pPr>
        <w:pStyle w:val="856"/>
        <w:ind w:firstLine="480"/>
        <w:jc w:val="both"/>
        <w:pageBreakBefore w:val="0"/>
        <w:spacing w:beforeAutospacing="0" w:afterAutospacing="0" w:line="460" w:lineRule="exact"/>
        <w:widowControl w:val="off"/>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27.1.8 投标人被 “信用中国”网站（www.creditchina.gov.cn）列入失信被执行人或重大税收违法案件当事人名单或政府采购严重失信行为记录名单。或查询“信用中国”网站后发现投标人存在其他不符合《中华人民共和国政府采购法》第二十二条规定条件的信用记录。</w:t>
      </w:r>
      <w:r/>
    </w:p>
    <w:p>
      <w:pPr>
        <w:pStyle w:val="856"/>
        <w:ind w:firstLine="480"/>
        <w:jc w:val="both"/>
        <w:pageBreakBefore w:val="0"/>
        <w:spacing w:beforeAutospacing="0" w:afterAutospacing="0" w:line="460" w:lineRule="exact"/>
        <w:widowControl w:val="off"/>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27.1.9 投标文件含有采购人不能接受的附加条件的。</w:t>
      </w:r>
      <w:r/>
    </w:p>
    <w:p>
      <w:pPr>
        <w:pStyle w:val="856"/>
        <w:ind w:firstLine="480"/>
        <w:jc w:val="both"/>
        <w:pageBreakBefore w:val="0"/>
        <w:spacing w:beforeAutospacing="0" w:afterAutospacing="0" w:line="46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000000"/>
          <w:sz w:val="24"/>
          <w:szCs w:val="24"/>
          <w:highlight w:val="none"/>
        </w:rPr>
        <w:t xml:space="preserve">27.1.10</w:t>
      </w:r>
      <w:r>
        <w:rPr>
          <w:rFonts w:hint="eastAsia" w:ascii="宋体" w:hAnsi="宋体" w:eastAsia="宋体" w:cs="宋体"/>
          <w:color w:val="000000"/>
          <w:sz w:val="24"/>
          <w:szCs w:val="24"/>
          <w:highlight w:val="none"/>
          <w:lang w:val="en-US" w:eastAsia="zh-CN"/>
        </w:rPr>
        <w:t xml:space="preserve"> </w:t>
      </w:r>
      <w:r>
        <w:rPr>
          <w:rFonts w:hint="eastAsia" w:ascii="宋体" w:hAnsi="宋体" w:eastAsia="宋体" w:cs="宋体"/>
          <w:color w:val="000000"/>
          <w:sz w:val="24"/>
          <w:szCs w:val="24"/>
          <w:highlight w:val="none"/>
        </w:rPr>
        <w:t xml:space="preserve">评标委员会认为投标人的报价明显低</w:t>
      </w:r>
      <w:r>
        <w:rPr>
          <w:rFonts w:hint="eastAsia" w:ascii="宋体" w:hAnsi="宋体" w:eastAsia="宋体" w:cs="宋体"/>
          <w:color w:val="auto"/>
          <w:sz w:val="24"/>
          <w:szCs w:val="24"/>
          <w:highlight w:val="none"/>
        </w:rPr>
        <w:t xml:space="preserve">于其他通过符合性审查投标人的报价，有可能影响产品质量或者不能诚信履约的，将通过苏采云系统要求其在合理的时间内提供说明，必要时提交相关证明材料；投标人不能证明其报价合理性的，评标委员会应当将其作为无效投标处理。</w:t>
      </w:r>
      <w:r/>
    </w:p>
    <w:p>
      <w:pPr>
        <w:pStyle w:val="856"/>
        <w:ind w:firstLine="480"/>
        <w:jc w:val="both"/>
        <w:pageBreakBefore w:val="0"/>
        <w:spacing w:beforeAutospacing="0" w:afterAutospacing="0" w:line="46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27.1.11 本项目采购产品被财政部、国家发改委、生态环境部等列入“节能产品品目清单”、“环境标志产品品目清单”强制采购范围，而投标人所投标产品不在强制采购范围内的。（投标产品如属于政府强制采购节能产品品目清单范围内，投标文件中必须提供国家确定的认证机构出具的、处于有效期之内的该节能产品认证证书图片）</w:t>
      </w:r>
      <w:r/>
    </w:p>
    <w:p>
      <w:pPr>
        <w:pStyle w:val="856"/>
        <w:ind w:firstLine="480"/>
        <w:jc w:val="both"/>
        <w:pageBreakBefore w:val="0"/>
        <w:spacing w:beforeAutospacing="0" w:afterAutospacing="0" w:line="46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27.1.12 投标文件未按照招标文件要求加盖CA电子公章的。</w:t>
      </w:r>
      <w:r/>
    </w:p>
    <w:p>
      <w:pPr>
        <w:pStyle w:val="856"/>
        <w:ind w:firstLine="480"/>
        <w:jc w:val="both"/>
        <w:pageBreakBefore w:val="0"/>
        <w:spacing w:beforeAutospacing="0" w:afterAutospacing="0" w:line="46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27.1.13</w:t>
      </w:r>
      <w:r>
        <w:rPr>
          <w:rFonts w:hint="eastAsia" w:ascii="宋体" w:hAnsi="宋体" w:eastAsia="宋体" w:cs="宋体"/>
          <w:color w:val="auto"/>
          <w:sz w:val="24"/>
          <w:szCs w:val="24"/>
          <w:highlight w:val="none"/>
          <w:lang w:val="en-US" w:eastAsia="zh-CN"/>
        </w:rPr>
        <w:t xml:space="preserve"> </w:t>
      </w:r>
      <w:r>
        <w:rPr>
          <w:rFonts w:hint="eastAsia" w:ascii="宋体" w:hAnsi="宋体" w:eastAsia="宋体" w:cs="宋体"/>
          <w:color w:val="auto"/>
          <w:sz w:val="24"/>
          <w:szCs w:val="24"/>
          <w:highlight w:val="none"/>
        </w:rPr>
        <w:t xml:space="preserve">其他法律、法规及本招标文件规定的属无效投标的情形。</w:t>
      </w:r>
      <w:r/>
    </w:p>
    <w:p>
      <w:pPr>
        <w:pStyle w:val="856"/>
        <w:ind w:firstLine="480"/>
        <w:jc w:val="both"/>
        <w:pageBreakBefore w:val="0"/>
        <w:spacing w:beforeAutospacing="0" w:afterAutospacing="0" w:line="46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27.2</w:t>
      </w:r>
      <w:r>
        <w:rPr>
          <w:rFonts w:hint="eastAsia" w:ascii="宋体" w:hAnsi="宋体" w:eastAsia="宋体" w:cs="宋体"/>
          <w:color w:val="auto"/>
          <w:sz w:val="24"/>
          <w:szCs w:val="24"/>
          <w:highlight w:val="none"/>
          <w:lang w:val="en-US" w:eastAsia="zh-CN"/>
        </w:rPr>
        <w:t xml:space="preserve"> </w:t>
      </w:r>
      <w:r>
        <w:rPr>
          <w:rFonts w:hint="eastAsia" w:ascii="宋体" w:hAnsi="宋体" w:eastAsia="宋体" w:cs="宋体"/>
          <w:color w:val="auto"/>
          <w:sz w:val="24"/>
          <w:szCs w:val="24"/>
          <w:highlight w:val="none"/>
        </w:rPr>
        <w:t xml:space="preserve">废标条款</w:t>
      </w:r>
      <w:r/>
    </w:p>
    <w:p>
      <w:pPr>
        <w:pStyle w:val="856"/>
        <w:ind w:left="0" w:firstLine="480"/>
        <w:jc w:val="both"/>
        <w:pageBreakBefore w:val="0"/>
        <w:spacing w:beforeAutospacing="0" w:afterAutospacing="0" w:line="46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27.2.1</w:t>
      </w:r>
      <w:r>
        <w:rPr>
          <w:rFonts w:hint="eastAsia" w:ascii="宋体" w:hAnsi="宋体" w:eastAsia="宋体" w:cs="宋体"/>
          <w:color w:val="auto"/>
          <w:sz w:val="24"/>
          <w:szCs w:val="24"/>
          <w:highlight w:val="none"/>
          <w:lang w:val="en-US" w:eastAsia="zh-CN"/>
        </w:rPr>
        <w:t xml:space="preserve"> </w:t>
      </w:r>
      <w:r>
        <w:rPr>
          <w:rFonts w:hint="eastAsia" w:ascii="宋体" w:hAnsi="宋体" w:eastAsia="宋体" w:cs="宋体"/>
          <w:color w:val="auto"/>
          <w:sz w:val="24"/>
          <w:szCs w:val="24"/>
          <w:highlight w:val="none"/>
        </w:rPr>
        <w:t xml:space="preserve">符合专业条件的供应商或者对招标文件作实质响应的供应商不足三家的。</w:t>
      </w:r>
      <w:r/>
    </w:p>
    <w:p>
      <w:pPr>
        <w:pStyle w:val="856"/>
        <w:ind w:left="0" w:firstLine="480"/>
        <w:jc w:val="both"/>
        <w:pageBreakBefore w:val="0"/>
        <w:spacing w:beforeAutospacing="0" w:afterAutospacing="0" w:line="46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27.2.2</w:t>
      </w:r>
      <w:r>
        <w:rPr>
          <w:rFonts w:hint="eastAsia" w:ascii="宋体" w:hAnsi="宋体" w:eastAsia="宋体" w:cs="宋体"/>
          <w:color w:val="auto"/>
          <w:sz w:val="24"/>
          <w:szCs w:val="24"/>
          <w:highlight w:val="none"/>
          <w:lang w:val="en-US" w:eastAsia="zh-CN"/>
        </w:rPr>
        <w:t xml:space="preserve"> </w:t>
      </w:r>
      <w:r>
        <w:rPr>
          <w:rFonts w:hint="eastAsia" w:ascii="宋体" w:hAnsi="宋体" w:eastAsia="宋体" w:cs="宋体"/>
          <w:color w:val="auto"/>
          <w:sz w:val="24"/>
          <w:szCs w:val="24"/>
          <w:highlight w:val="none"/>
        </w:rPr>
        <w:t xml:space="preserve">出现影响采购公正的违法、违规行为的。</w:t>
      </w:r>
      <w:r/>
    </w:p>
    <w:p>
      <w:pPr>
        <w:pStyle w:val="856"/>
        <w:ind w:firstLine="480"/>
        <w:jc w:val="both"/>
        <w:pageBreakBefore w:val="0"/>
        <w:spacing w:beforeAutospacing="0" w:afterAutospacing="0" w:line="46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27.2.3</w:t>
      </w:r>
      <w:r>
        <w:rPr>
          <w:rFonts w:hint="eastAsia" w:ascii="宋体" w:hAnsi="宋体" w:eastAsia="宋体" w:cs="宋体"/>
          <w:color w:val="auto"/>
          <w:sz w:val="24"/>
          <w:szCs w:val="24"/>
          <w:highlight w:val="none"/>
          <w:lang w:val="en-US" w:eastAsia="zh-CN"/>
        </w:rPr>
        <w:t xml:space="preserve"> </w:t>
      </w:r>
      <w:r>
        <w:rPr>
          <w:rFonts w:hint="eastAsia" w:ascii="宋体" w:hAnsi="宋体" w:eastAsia="宋体" w:cs="宋体"/>
          <w:color w:val="auto"/>
          <w:sz w:val="24"/>
          <w:szCs w:val="24"/>
          <w:highlight w:val="none"/>
        </w:rPr>
        <w:t xml:space="preserve">因重大变故，采购任务取消的。</w:t>
      </w:r>
      <w:r/>
    </w:p>
    <w:p>
      <w:pPr>
        <w:pStyle w:val="856"/>
        <w:ind w:left="0" w:firstLine="480"/>
        <w:jc w:val="both"/>
        <w:pageBreakBefore w:val="0"/>
        <w:spacing w:beforeAutospacing="0" w:afterAutospacing="0" w:line="460" w:lineRule="exact"/>
        <w:widowControl w:val="off"/>
        <w:tabs>
          <w:tab w:val="left" w:pos="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27.2.4评标委员会认定招标文件存在歧义、重大缺陷导致评审工作无法进行。</w:t>
      </w:r>
      <w:r/>
    </w:p>
    <w:p>
      <w:pPr>
        <w:pStyle w:val="856"/>
        <w:ind w:firstLine="480"/>
        <w:jc w:val="both"/>
        <w:pageBreakBefore w:val="0"/>
        <w:spacing w:beforeAutospacing="0" w:afterAutospacing="0" w:line="46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27.2.5 因苏采云系统系统故障原因造成开标不成功的。</w:t>
      </w:r>
      <w:r/>
    </w:p>
    <w:p>
      <w:pPr>
        <w:pStyle w:val="856"/>
        <w:ind w:firstLine="480"/>
        <w:jc w:val="both"/>
        <w:pageBreakBefore w:val="0"/>
        <w:spacing w:beforeAutospacing="0" w:afterAutospacing="0" w:line="46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27.3 投标截止时间结束后参加投标的供应商不足三家的处理：</w:t>
      </w:r>
      <w:r/>
    </w:p>
    <w:p>
      <w:pPr>
        <w:pStyle w:val="856"/>
        <w:ind w:firstLine="480"/>
        <w:jc w:val="both"/>
        <w:pageBreakBefore w:val="0"/>
        <w:spacing w:beforeAutospacing="0" w:afterAutospacing="0" w:line="460" w:lineRule="exact"/>
        <w:widowControl w:val="off"/>
        <w:rPr>
          <w:rFonts w:hint="eastAsia" w:ascii="宋体" w:hAnsi="宋体" w:eastAsia="宋体" w:cs="宋体"/>
          <w:sz w:val="24"/>
          <w:szCs w:val="24"/>
          <w:highlight w:val="none"/>
        </w:rPr>
      </w:pPr>
      <w:r>
        <w:rPr>
          <w:rFonts w:hint="eastAsia" w:ascii="宋体" w:hAnsi="宋体" w:eastAsia="宋体" w:cs="宋体"/>
          <w:color w:val="auto"/>
          <w:sz w:val="24"/>
          <w:szCs w:val="24"/>
          <w:highlight w:val="none"/>
        </w:rPr>
        <w:t xml:space="preserve">27.3.1</w:t>
      </w:r>
      <w:r>
        <w:rPr>
          <w:rFonts w:hint="eastAsia" w:ascii="宋体" w:hAnsi="宋体" w:eastAsia="宋体" w:cs="宋体"/>
          <w:color w:val="auto"/>
          <w:sz w:val="24"/>
          <w:szCs w:val="24"/>
          <w:highlight w:val="none"/>
          <w:lang w:val="en-US" w:eastAsia="zh-CN"/>
        </w:rPr>
        <w:t xml:space="preserve"> </w:t>
      </w:r>
      <w:r>
        <w:rPr>
          <w:rFonts w:hint="eastAsia" w:ascii="宋体" w:hAnsi="宋体" w:eastAsia="宋体" w:cs="宋体"/>
          <w:color w:val="auto"/>
          <w:sz w:val="24"/>
          <w:szCs w:val="24"/>
          <w:highlight w:val="none"/>
        </w:rPr>
        <w:t xml:space="preserve">如出现投标截止时间结束后参加投标的供应商或者</w:t>
      </w:r>
      <w:r>
        <w:rPr>
          <w:rFonts w:hint="eastAsia" w:ascii="宋体" w:hAnsi="宋体" w:eastAsia="宋体" w:cs="宋体"/>
          <w:color w:val="000000"/>
          <w:sz w:val="24"/>
          <w:szCs w:val="24"/>
          <w:highlight w:val="none"/>
        </w:rPr>
        <w:t xml:space="preserve">在评标期间对招标文件做出实质响应的供应商不足三家情况，按政府采购相关规定执行。</w:t>
      </w:r>
      <w:r/>
    </w:p>
    <w:p>
      <w:pPr>
        <w:pStyle w:val="856"/>
        <w:ind w:firstLine="482"/>
        <w:jc w:val="both"/>
        <w:keepLines/>
        <w:keepNext/>
        <w:pageBreakBefore w:val="0"/>
        <w:spacing w:beforeAutospacing="0" w:afterAutospacing="0" w:line="460" w:lineRule="exact"/>
        <w:widowControl w:val="off"/>
        <w:rPr>
          <w:rFonts w:hint="eastAsia" w:ascii="宋体" w:hAnsi="宋体" w:eastAsia="宋体" w:cs="宋体"/>
          <w:sz w:val="24"/>
          <w:szCs w:val="24"/>
          <w:highlight w:val="none"/>
        </w:rPr>
      </w:pPr>
      <w:r/>
      <w:bookmarkStart w:id="148" w:name="_Toc120614219"/>
      <w:r>
        <w:rPr>
          <w:rFonts w:hint="eastAsia" w:ascii="宋体" w:hAnsi="宋体" w:eastAsia="宋体" w:cs="宋体"/>
          <w:b/>
          <w:color w:val="000000"/>
          <w:sz w:val="24"/>
          <w:szCs w:val="24"/>
          <w:highlight w:val="none"/>
        </w:rPr>
        <w:t xml:space="preserve">六、定标</w:t>
      </w:r>
      <w:bookmarkEnd w:id="148"/>
      <w:r/>
      <w:r/>
    </w:p>
    <w:p>
      <w:pPr>
        <w:pStyle w:val="856"/>
        <w:ind w:firstLine="480"/>
        <w:jc w:val="both"/>
        <w:keepLines/>
        <w:keepNext/>
        <w:pageBreakBefore w:val="0"/>
        <w:spacing w:beforeAutospacing="0" w:afterAutospacing="0" w:line="460" w:lineRule="exact"/>
        <w:widowControl w:val="off"/>
        <w:rPr>
          <w:rFonts w:hint="eastAsia" w:ascii="宋体" w:hAnsi="宋体" w:eastAsia="宋体" w:cs="宋体"/>
          <w:sz w:val="24"/>
          <w:szCs w:val="24"/>
          <w:highlight w:val="none"/>
        </w:rPr>
      </w:pPr>
      <w:r/>
      <w:bookmarkStart w:id="149" w:name="_Toc20823310"/>
      <w:r/>
      <w:bookmarkStart w:id="150" w:name="_Toc16938554"/>
      <w:r/>
      <w:bookmarkStart w:id="151" w:name="_Toc513029238"/>
      <w:r>
        <w:rPr>
          <w:rFonts w:hint="eastAsia" w:ascii="宋体" w:hAnsi="宋体" w:eastAsia="宋体" w:cs="宋体"/>
          <w:color w:val="000000"/>
          <w:sz w:val="24"/>
          <w:szCs w:val="24"/>
          <w:highlight w:val="none"/>
        </w:rPr>
        <w:t xml:space="preserve">28、</w:t>
      </w:r>
      <w:bookmarkEnd w:id="149"/>
      <w:r>
        <w:rPr>
          <w:rFonts w:hint="eastAsia" w:ascii="宋体" w:hAnsi="宋体" w:eastAsia="宋体" w:cs="宋体"/>
          <w:color w:val="000000"/>
          <w:sz w:val="24"/>
          <w:szCs w:val="24"/>
          <w:highlight w:val="none"/>
        </w:rPr>
        <w:t xml:space="preserve">确定</w:t>
      </w:r>
      <w:bookmarkEnd w:id="150"/>
      <w:r/>
      <w:bookmarkEnd w:id="151"/>
      <w:r>
        <w:rPr>
          <w:rFonts w:hint="eastAsia" w:ascii="宋体" w:hAnsi="宋体" w:eastAsia="宋体" w:cs="宋体"/>
          <w:color w:val="000000"/>
          <w:sz w:val="24"/>
          <w:szCs w:val="24"/>
          <w:highlight w:val="none"/>
        </w:rPr>
        <w:t xml:space="preserve">中标单位</w:t>
      </w:r>
      <w:r/>
    </w:p>
    <w:p>
      <w:pPr>
        <w:pStyle w:val="856"/>
        <w:ind w:firstLine="480"/>
        <w:jc w:val="both"/>
        <w:pageBreakBefore w:val="0"/>
        <w:spacing w:beforeAutospacing="0" w:afterAutospacing="0" w:line="460" w:lineRule="exact"/>
        <w:widowControl w:val="off"/>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28.1</w:t>
      </w:r>
      <w:r>
        <w:rPr>
          <w:rFonts w:hint="eastAsia" w:ascii="宋体" w:hAnsi="宋体" w:eastAsia="宋体" w:cs="宋体"/>
          <w:color w:val="000000"/>
          <w:sz w:val="24"/>
          <w:szCs w:val="24"/>
          <w:highlight w:val="none"/>
          <w:lang w:val="en-US" w:eastAsia="zh-CN"/>
        </w:rPr>
        <w:t xml:space="preserve"> </w:t>
      </w:r>
      <w:r>
        <w:rPr>
          <w:rFonts w:hint="eastAsia" w:ascii="宋体" w:hAnsi="宋体" w:eastAsia="宋体" w:cs="宋体"/>
          <w:color w:val="000000"/>
          <w:sz w:val="24"/>
          <w:szCs w:val="24"/>
          <w:highlight w:val="none"/>
        </w:rPr>
        <w:t xml:space="preserve">中标候选人的选取原则和数量见招标文件第五章规定。 </w:t>
      </w:r>
      <w:r/>
    </w:p>
    <w:p>
      <w:pPr>
        <w:pStyle w:val="856"/>
        <w:ind w:firstLine="480"/>
        <w:jc w:val="both"/>
        <w:pageBreakBefore w:val="0"/>
        <w:spacing w:beforeAutospacing="0" w:afterAutospacing="0" w:line="460" w:lineRule="exact"/>
        <w:widowControl w:val="off"/>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28.2 采购人应根据评委会推荐的中标候选人确定中标人。</w:t>
      </w:r>
      <w:r/>
    </w:p>
    <w:p>
      <w:pPr>
        <w:pStyle w:val="856"/>
        <w:ind w:firstLine="480"/>
        <w:jc w:val="both"/>
        <w:pageBreakBefore w:val="0"/>
        <w:spacing w:beforeAutospacing="0" w:afterAutospacing="0" w:line="460" w:lineRule="exact"/>
        <w:widowControl w:val="off"/>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28.3 </w:t>
      </w:r>
      <w:r>
        <w:rPr>
          <w:rFonts w:hint="eastAsia" w:ascii="宋体" w:hAnsi="宋体" w:eastAsia="宋体" w:cs="宋体"/>
          <w:color w:val="000000"/>
          <w:sz w:val="24"/>
          <w:szCs w:val="24"/>
          <w:highlight w:val="none"/>
          <w:lang w:eastAsia="zh-CN"/>
        </w:rPr>
        <w:t xml:space="preserve">采购代理机构</w:t>
      </w:r>
      <w:r>
        <w:rPr>
          <w:rFonts w:hint="eastAsia" w:ascii="宋体" w:hAnsi="宋体" w:eastAsia="宋体" w:cs="宋体"/>
          <w:color w:val="000000"/>
          <w:sz w:val="24"/>
          <w:szCs w:val="24"/>
          <w:highlight w:val="none"/>
        </w:rPr>
        <w:t xml:space="preserve">将在</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val="en-US" w:eastAsia="zh-CN" w:bidi="ar-SA"/>
        </w:rPr>
        <w:t xml:space="preserve">中国政府采购网</w:t>
      </w:r>
      <w:r>
        <w:rPr>
          <w:rFonts w:hint="eastAsia" w:ascii="宋体" w:hAnsi="宋体" w:eastAsia="宋体" w:cs="宋体"/>
          <w:i w:val="0"/>
          <w:iCs w:val="0"/>
          <w:caps w:val="0"/>
          <w:color w:val="333333"/>
          <w:spacing w:val="0"/>
          <w:sz w:val="24"/>
          <w:szCs w:val="24"/>
          <w:highlight w:val="none"/>
          <w:shd w:val="clear" w:color="auto" w:fill="ffffff"/>
          <w:lang w:val="en-US" w:eastAsia="zh-CN"/>
        </w:rPr>
        <w:t xml:space="preserve">”、</w:t>
      </w:r>
      <w:r>
        <w:rPr>
          <w:rFonts w:hint="eastAsia" w:ascii="宋体" w:hAnsi="宋体" w:eastAsia="宋体" w:cs="宋体"/>
          <w:color w:val="000000"/>
          <w:sz w:val="24"/>
          <w:szCs w:val="24"/>
          <w:highlight w:val="none"/>
        </w:rPr>
        <w:t xml:space="preserve">“江苏政府采购网”</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lang w:val="en-US" w:eastAsia="zh-CN"/>
        </w:rPr>
        <w:t xml:space="preserve">盐城市政府采购网</w:t>
      </w:r>
      <w:r>
        <w:rPr>
          <w:rFonts w:hint="eastAsia" w:ascii="宋体" w:hAnsi="宋体" w:eastAsia="宋体" w:cs="宋体"/>
          <w:i w:val="0"/>
          <w:iCs w:val="0"/>
          <w:caps w:val="0"/>
          <w:color w:val="333333"/>
          <w:spacing w:val="0"/>
          <w:sz w:val="24"/>
          <w:szCs w:val="24"/>
          <w:highlight w:val="none"/>
          <w:shd w:val="clear" w:color="auto" w:fill="ffffff"/>
          <w:lang w:val="en-US" w:eastAsia="zh-CN"/>
        </w:rPr>
        <w:t xml:space="preserve">”</w:t>
      </w:r>
      <w:r>
        <w:rPr>
          <w:rFonts w:hint="eastAsia" w:ascii="宋体" w:hAnsi="宋体" w:eastAsia="宋体" w:cs="宋体"/>
          <w:color w:val="000000"/>
          <w:sz w:val="24"/>
          <w:szCs w:val="24"/>
          <w:highlight w:val="none"/>
        </w:rPr>
        <w:t xml:space="preserve">发布中标公告，公告期限为1个工作日。</w:t>
      </w:r>
      <w:r/>
    </w:p>
    <w:p>
      <w:pPr>
        <w:pStyle w:val="856"/>
        <w:ind w:firstLine="480"/>
        <w:jc w:val="both"/>
        <w:pageBreakBefore w:val="0"/>
        <w:spacing w:beforeAutospacing="0" w:afterAutospacing="0" w:line="460" w:lineRule="exact"/>
        <w:widowControl w:val="off"/>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28.4 若有充分证据证明，中标人出现下列情况之一的，一经查实，将被取消中标资格：</w:t>
      </w:r>
      <w:r/>
    </w:p>
    <w:p>
      <w:pPr>
        <w:pStyle w:val="856"/>
        <w:ind w:firstLine="480"/>
        <w:jc w:val="both"/>
        <w:pageBreakBefore w:val="0"/>
        <w:spacing w:beforeAutospacing="0" w:afterAutospacing="0" w:line="460" w:lineRule="exact"/>
        <w:widowControl w:val="off"/>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28.4.1</w:t>
      </w:r>
      <w:r>
        <w:rPr>
          <w:rFonts w:hint="eastAsia" w:ascii="宋体" w:hAnsi="宋体" w:eastAsia="宋体" w:cs="宋体"/>
          <w:color w:val="000000"/>
          <w:sz w:val="24"/>
          <w:szCs w:val="24"/>
          <w:highlight w:val="none"/>
          <w:lang w:val="en-US" w:eastAsia="zh-CN"/>
        </w:rPr>
        <w:t xml:space="preserve"> </w:t>
      </w:r>
      <w:r>
        <w:rPr>
          <w:rFonts w:hint="eastAsia" w:ascii="宋体" w:hAnsi="宋体" w:eastAsia="宋体" w:cs="宋体"/>
          <w:color w:val="000000"/>
          <w:sz w:val="24"/>
          <w:szCs w:val="24"/>
          <w:highlight w:val="none"/>
        </w:rPr>
        <w:t xml:space="preserve">提供虚假材料谋取中标的。</w:t>
      </w:r>
      <w:r/>
    </w:p>
    <w:p>
      <w:pPr>
        <w:pStyle w:val="856"/>
        <w:ind w:firstLine="480"/>
        <w:jc w:val="both"/>
        <w:pageBreakBefore w:val="0"/>
        <w:spacing w:beforeAutospacing="0" w:afterAutospacing="0" w:line="460" w:lineRule="exact"/>
        <w:widowControl w:val="off"/>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28.4.2</w:t>
      </w:r>
      <w:r>
        <w:rPr>
          <w:rFonts w:hint="eastAsia" w:ascii="宋体" w:hAnsi="宋体" w:eastAsia="宋体" w:cs="宋体"/>
          <w:color w:val="000000"/>
          <w:sz w:val="24"/>
          <w:szCs w:val="24"/>
          <w:highlight w:val="none"/>
          <w:lang w:val="en-US" w:eastAsia="zh-CN"/>
        </w:rPr>
        <w:t xml:space="preserve"> </w:t>
      </w:r>
      <w:r>
        <w:rPr>
          <w:rFonts w:hint="eastAsia" w:ascii="宋体" w:hAnsi="宋体" w:eastAsia="宋体" w:cs="宋体"/>
          <w:color w:val="000000"/>
          <w:sz w:val="24"/>
          <w:szCs w:val="24"/>
          <w:highlight w:val="none"/>
        </w:rPr>
        <w:t xml:space="preserve">向采购人、</w:t>
      </w:r>
      <w:r>
        <w:rPr>
          <w:rFonts w:hint="eastAsia" w:ascii="宋体" w:hAnsi="宋体" w:eastAsia="宋体" w:cs="宋体"/>
          <w:color w:val="000000"/>
          <w:sz w:val="24"/>
          <w:szCs w:val="24"/>
          <w:highlight w:val="none"/>
          <w:lang w:eastAsia="zh-CN"/>
        </w:rPr>
        <w:t xml:space="preserve">采购代理机构</w:t>
      </w:r>
      <w:r>
        <w:rPr>
          <w:rFonts w:hint="eastAsia" w:ascii="宋体" w:hAnsi="宋体" w:eastAsia="宋体" w:cs="宋体"/>
          <w:color w:val="000000"/>
          <w:sz w:val="24"/>
          <w:szCs w:val="24"/>
          <w:highlight w:val="none"/>
        </w:rPr>
        <w:t xml:space="preserve">行贿或者提供其他不正当利益的。</w:t>
      </w:r>
      <w:r/>
    </w:p>
    <w:p>
      <w:pPr>
        <w:pStyle w:val="856"/>
        <w:ind w:firstLine="480"/>
        <w:jc w:val="both"/>
        <w:pageBreakBefore w:val="0"/>
        <w:spacing w:beforeAutospacing="0" w:afterAutospacing="0" w:line="460" w:lineRule="exact"/>
        <w:widowControl w:val="off"/>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28.4.3</w:t>
      </w:r>
      <w:r>
        <w:rPr>
          <w:rFonts w:hint="eastAsia" w:ascii="宋体" w:hAnsi="宋体" w:eastAsia="宋体" w:cs="宋体"/>
          <w:color w:val="000000"/>
          <w:sz w:val="24"/>
          <w:szCs w:val="24"/>
          <w:highlight w:val="none"/>
          <w:lang w:val="en-US" w:eastAsia="zh-CN"/>
        </w:rPr>
        <w:t xml:space="preserve"> </w:t>
      </w:r>
      <w:r>
        <w:rPr>
          <w:rFonts w:hint="eastAsia" w:ascii="宋体" w:hAnsi="宋体" w:eastAsia="宋体" w:cs="宋体"/>
          <w:color w:val="000000"/>
          <w:sz w:val="24"/>
          <w:szCs w:val="24"/>
          <w:highlight w:val="none"/>
        </w:rPr>
        <w:t xml:space="preserve">属于本文件规定的无效条件，但在评标过程中又未被评委会发现的。</w:t>
      </w:r>
      <w:r/>
    </w:p>
    <w:p>
      <w:pPr>
        <w:pStyle w:val="856"/>
        <w:ind w:firstLine="480"/>
        <w:jc w:val="both"/>
        <w:pageBreakBefore w:val="0"/>
        <w:spacing w:beforeAutospacing="0" w:afterAutospacing="0" w:line="460" w:lineRule="exact"/>
        <w:widowControl w:val="off"/>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28.4.4</w:t>
      </w:r>
      <w:r>
        <w:rPr>
          <w:rFonts w:hint="eastAsia" w:ascii="宋体" w:hAnsi="宋体" w:eastAsia="宋体" w:cs="宋体"/>
          <w:color w:val="000000"/>
          <w:sz w:val="24"/>
          <w:szCs w:val="24"/>
          <w:highlight w:val="none"/>
          <w:lang w:val="en-US" w:eastAsia="zh-CN"/>
        </w:rPr>
        <w:t xml:space="preserve"> </w:t>
      </w:r>
      <w:r>
        <w:rPr>
          <w:rFonts w:hint="eastAsia" w:ascii="宋体" w:hAnsi="宋体" w:eastAsia="宋体" w:cs="宋体"/>
          <w:color w:val="000000"/>
          <w:sz w:val="24"/>
          <w:szCs w:val="24"/>
          <w:highlight w:val="none"/>
        </w:rPr>
        <w:t xml:space="preserve">与采购人或者其他供应商恶意串通的。</w:t>
      </w:r>
      <w:r/>
    </w:p>
    <w:p>
      <w:pPr>
        <w:pStyle w:val="856"/>
        <w:ind w:firstLine="480"/>
        <w:jc w:val="both"/>
        <w:pageBreakBefore w:val="0"/>
        <w:spacing w:beforeAutospacing="0" w:afterAutospacing="0" w:line="460" w:lineRule="exact"/>
        <w:widowControl w:val="off"/>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28.4.5</w:t>
      </w:r>
      <w:r>
        <w:rPr>
          <w:rFonts w:hint="eastAsia" w:ascii="宋体" w:hAnsi="宋体" w:eastAsia="宋体" w:cs="宋体"/>
          <w:color w:val="000000"/>
          <w:sz w:val="24"/>
          <w:szCs w:val="24"/>
          <w:highlight w:val="none"/>
          <w:lang w:val="en-US" w:eastAsia="zh-CN"/>
        </w:rPr>
        <w:t xml:space="preserve"> </w:t>
      </w:r>
      <w:r>
        <w:rPr>
          <w:rFonts w:hint="eastAsia" w:ascii="宋体" w:hAnsi="宋体" w:eastAsia="宋体" w:cs="宋体"/>
          <w:color w:val="000000"/>
          <w:sz w:val="24"/>
          <w:szCs w:val="24"/>
          <w:highlight w:val="none"/>
        </w:rPr>
        <w:t xml:space="preserve">采取不正当手段诋毁、排挤其他供应商的。</w:t>
      </w:r>
      <w:r/>
    </w:p>
    <w:p>
      <w:pPr>
        <w:pStyle w:val="856"/>
        <w:ind w:firstLine="480"/>
        <w:jc w:val="both"/>
        <w:pageBreakBefore w:val="0"/>
        <w:spacing w:beforeAutospacing="0" w:afterAutospacing="0" w:line="460" w:lineRule="exact"/>
        <w:widowControl w:val="off"/>
        <w:rPr>
          <w:rFonts w:hint="eastAsia" w:ascii="宋体" w:hAnsi="宋体" w:eastAsia="宋体" w:cs="宋体"/>
          <w:sz w:val="24"/>
          <w:szCs w:val="24"/>
          <w:highlight w:val="none"/>
        </w:rPr>
      </w:pPr>
      <w:r/>
      <w:bookmarkStart w:id="152" w:name="_Toc200451960"/>
      <w:r>
        <w:rPr>
          <w:rFonts w:hint="eastAsia" w:ascii="宋体" w:hAnsi="宋体" w:eastAsia="宋体" w:cs="宋体"/>
          <w:color w:val="000000"/>
          <w:sz w:val="24"/>
          <w:szCs w:val="24"/>
          <w:highlight w:val="none"/>
        </w:rPr>
        <w:t xml:space="preserve">28.5</w:t>
      </w:r>
      <w:r>
        <w:rPr>
          <w:rFonts w:hint="eastAsia" w:ascii="宋体" w:hAnsi="宋体" w:eastAsia="宋体" w:cs="宋体"/>
          <w:color w:val="000000"/>
          <w:sz w:val="24"/>
          <w:szCs w:val="24"/>
          <w:highlight w:val="none"/>
          <w:lang w:val="en-US" w:eastAsia="zh-CN"/>
        </w:rPr>
        <w:t xml:space="preserve"> </w:t>
      </w:r>
      <w:r>
        <w:rPr>
          <w:rFonts w:hint="eastAsia" w:ascii="宋体" w:hAnsi="宋体" w:eastAsia="宋体" w:cs="宋体"/>
          <w:color w:val="000000"/>
          <w:sz w:val="24"/>
          <w:szCs w:val="24"/>
          <w:highlight w:val="none"/>
        </w:rPr>
        <w:t xml:space="preserve">有下列情形之一的，视为投标人串通投标，投标无效：</w:t>
      </w:r>
      <w:bookmarkEnd w:id="152"/>
      <w:r/>
      <w:r/>
    </w:p>
    <w:p>
      <w:pPr>
        <w:pStyle w:val="856"/>
        <w:ind w:firstLine="480"/>
        <w:jc w:val="both"/>
        <w:pageBreakBefore w:val="0"/>
        <w:spacing w:beforeAutospacing="0" w:afterAutospacing="0" w:line="460" w:lineRule="exact"/>
        <w:widowControl w:val="off"/>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28.5.1</w:t>
      </w:r>
      <w:r>
        <w:rPr>
          <w:rFonts w:hint="eastAsia" w:ascii="宋体" w:hAnsi="宋体" w:eastAsia="宋体" w:cs="宋体"/>
          <w:color w:val="000000"/>
          <w:sz w:val="24"/>
          <w:szCs w:val="24"/>
          <w:highlight w:val="none"/>
          <w:lang w:val="en-US" w:eastAsia="zh-CN"/>
        </w:rPr>
        <w:t xml:space="preserve"> </w:t>
      </w:r>
      <w:r>
        <w:rPr>
          <w:rFonts w:hint="eastAsia" w:ascii="宋体" w:hAnsi="宋体" w:eastAsia="宋体" w:cs="宋体"/>
          <w:color w:val="000000"/>
          <w:sz w:val="24"/>
          <w:szCs w:val="24"/>
          <w:highlight w:val="none"/>
        </w:rPr>
        <w:t xml:space="preserve">不同投标人的投标文件由同一单位或者个人编制；</w:t>
      </w:r>
      <w:r/>
    </w:p>
    <w:p>
      <w:pPr>
        <w:pStyle w:val="856"/>
        <w:ind w:firstLine="480"/>
        <w:jc w:val="both"/>
        <w:pageBreakBefore w:val="0"/>
        <w:spacing w:beforeAutospacing="0" w:afterAutospacing="0" w:line="460" w:lineRule="exact"/>
        <w:widowControl w:val="off"/>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28.5.2</w:t>
      </w:r>
      <w:r>
        <w:rPr>
          <w:rFonts w:hint="eastAsia" w:ascii="宋体" w:hAnsi="宋体" w:eastAsia="宋体" w:cs="宋体"/>
          <w:color w:val="000000"/>
          <w:sz w:val="24"/>
          <w:szCs w:val="24"/>
          <w:highlight w:val="none"/>
          <w:lang w:val="en-US" w:eastAsia="zh-CN"/>
        </w:rPr>
        <w:t xml:space="preserve"> </w:t>
      </w:r>
      <w:r>
        <w:rPr>
          <w:rFonts w:hint="eastAsia" w:ascii="宋体" w:hAnsi="宋体" w:eastAsia="宋体" w:cs="宋体"/>
          <w:color w:val="000000"/>
          <w:sz w:val="24"/>
          <w:szCs w:val="24"/>
          <w:highlight w:val="none"/>
        </w:rPr>
        <w:t xml:space="preserve">不同投标人委托同一单位或者个人办理投标事宜；</w:t>
      </w:r>
      <w:r/>
    </w:p>
    <w:p>
      <w:pPr>
        <w:pStyle w:val="856"/>
        <w:ind w:firstLine="480"/>
        <w:jc w:val="both"/>
        <w:pageBreakBefore w:val="0"/>
        <w:spacing w:beforeAutospacing="0" w:afterAutospacing="0" w:line="460" w:lineRule="exact"/>
        <w:widowControl w:val="off"/>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28.5.3 不同投标人的投标文件载明的项目管理成员或者联系人员为同一人；</w:t>
      </w:r>
      <w:r/>
    </w:p>
    <w:p>
      <w:pPr>
        <w:pStyle w:val="856"/>
        <w:ind w:firstLine="480"/>
        <w:jc w:val="both"/>
        <w:pageBreakBefore w:val="0"/>
        <w:spacing w:beforeAutospacing="0" w:afterAutospacing="0" w:line="460" w:lineRule="exact"/>
        <w:widowControl w:val="off"/>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28.5.4</w:t>
      </w:r>
      <w:r>
        <w:rPr>
          <w:rFonts w:hint="eastAsia" w:ascii="宋体" w:hAnsi="宋体" w:eastAsia="宋体" w:cs="宋体"/>
          <w:color w:val="000000"/>
          <w:sz w:val="24"/>
          <w:szCs w:val="24"/>
          <w:highlight w:val="none"/>
          <w:lang w:val="en-US" w:eastAsia="zh-CN"/>
        </w:rPr>
        <w:t xml:space="preserve"> </w:t>
      </w:r>
      <w:r>
        <w:rPr>
          <w:rFonts w:hint="eastAsia" w:ascii="宋体" w:hAnsi="宋体" w:eastAsia="宋体" w:cs="宋体"/>
          <w:color w:val="000000"/>
          <w:sz w:val="24"/>
          <w:szCs w:val="24"/>
          <w:highlight w:val="none"/>
        </w:rPr>
        <w:t xml:space="preserve">不同投标人的投标文件异常一致或者投标报价呈规律性差异；</w:t>
      </w:r>
      <w:r/>
    </w:p>
    <w:p>
      <w:pPr>
        <w:pStyle w:val="856"/>
        <w:ind w:firstLine="480"/>
        <w:jc w:val="both"/>
        <w:keepLines/>
        <w:keepNext/>
        <w:pageBreakBefore w:val="0"/>
        <w:spacing w:beforeAutospacing="0" w:afterAutospacing="0" w:line="460" w:lineRule="exact"/>
        <w:widowControl w:val="off"/>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29、质疑处理</w:t>
      </w:r>
      <w:r/>
    </w:p>
    <w:p>
      <w:pPr>
        <w:pStyle w:val="856"/>
        <w:ind w:firstLine="480"/>
        <w:jc w:val="both"/>
        <w:pageBreakBefore w:val="0"/>
        <w:spacing w:beforeAutospacing="0" w:afterAutospacing="0" w:line="460" w:lineRule="exact"/>
        <w:widowControl w:val="off"/>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29.1 提出质疑的供应商应当是参与所质疑项目采购活动的供应商。潜在供应商依法获取其可质疑的采购文件的，可以对采购文件提出质疑。</w:t>
      </w:r>
      <w:r/>
    </w:p>
    <w:p>
      <w:pPr>
        <w:pStyle w:val="856"/>
        <w:ind w:firstLine="480"/>
        <w:jc w:val="both"/>
        <w:pageBreakBefore w:val="0"/>
        <w:spacing w:beforeAutospacing="0" w:afterAutospacing="0" w:line="460" w:lineRule="exact"/>
        <w:widowControl w:val="off"/>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29.2</w:t>
      </w:r>
      <w:r>
        <w:rPr>
          <w:rFonts w:hint="eastAsia" w:ascii="宋体" w:hAnsi="宋体" w:eastAsia="宋体" w:cs="宋体"/>
          <w:color w:val="000000"/>
          <w:sz w:val="24"/>
          <w:szCs w:val="24"/>
          <w:highlight w:val="none"/>
          <w:lang w:val="en-US" w:eastAsia="zh-CN"/>
        </w:rPr>
        <w:t xml:space="preserve"> </w:t>
      </w:r>
      <w:r>
        <w:rPr>
          <w:rFonts w:hint="eastAsia" w:ascii="宋体" w:hAnsi="宋体" w:eastAsia="宋体" w:cs="宋体"/>
          <w:color w:val="000000"/>
          <w:sz w:val="24"/>
          <w:szCs w:val="24"/>
          <w:highlight w:val="none"/>
        </w:rPr>
        <w:t xml:space="preserve">供应商认为采购文件、采购过程和采购结果使自己的权益受到损害的，可以在知道或应知其权益受到损害之日起七个工作日内，以书面形式根据下述29.4条款的规定向</w:t>
      </w:r>
      <w:r>
        <w:rPr>
          <w:rFonts w:hint="eastAsia" w:ascii="宋体" w:hAnsi="宋体" w:eastAsia="宋体" w:cs="宋体"/>
          <w:color w:val="000000"/>
          <w:sz w:val="24"/>
          <w:szCs w:val="24"/>
          <w:highlight w:val="none"/>
          <w:lang w:eastAsia="zh-CN"/>
        </w:rPr>
        <w:t xml:space="preserve">采购代理机构</w:t>
      </w:r>
      <w:r>
        <w:rPr>
          <w:rFonts w:hint="eastAsia" w:ascii="宋体" w:hAnsi="宋体" w:eastAsia="宋体" w:cs="宋体"/>
          <w:color w:val="000000"/>
          <w:sz w:val="24"/>
          <w:szCs w:val="24"/>
          <w:highlight w:val="none"/>
        </w:rPr>
        <w:t xml:space="preserve">或采购人提出质疑。上述应知其权益受到损害之日，是指：</w:t>
      </w:r>
      <w:r/>
    </w:p>
    <w:p>
      <w:pPr>
        <w:pStyle w:val="856"/>
        <w:ind w:firstLine="480"/>
        <w:jc w:val="both"/>
        <w:pageBreakBefore w:val="0"/>
        <w:spacing w:beforeAutospacing="0" w:afterAutospacing="0" w:line="460" w:lineRule="exact"/>
        <w:widowControl w:val="off"/>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29.2.1</w:t>
      </w:r>
      <w:r>
        <w:rPr>
          <w:rFonts w:hint="eastAsia" w:ascii="宋体" w:hAnsi="宋体" w:eastAsia="宋体" w:cs="宋体"/>
          <w:color w:val="000000"/>
          <w:sz w:val="24"/>
          <w:szCs w:val="24"/>
          <w:highlight w:val="none"/>
          <w:lang w:val="en-US" w:eastAsia="zh-CN"/>
        </w:rPr>
        <w:t xml:space="preserve"> </w:t>
      </w:r>
      <w:r>
        <w:rPr>
          <w:rFonts w:hint="eastAsia" w:ascii="宋体" w:hAnsi="宋体" w:eastAsia="宋体" w:cs="宋体"/>
          <w:color w:val="000000"/>
          <w:sz w:val="24"/>
          <w:szCs w:val="24"/>
          <w:highlight w:val="none"/>
        </w:rPr>
        <w:t xml:space="preserve">对可以质疑的采购文件提出质疑的，为收到采购文件之日或者采购文件公告期限届满之日；</w:t>
      </w:r>
      <w:r>
        <w:rPr>
          <w:rFonts w:hint="eastAsia" w:ascii="宋体" w:hAnsi="宋体" w:eastAsia="宋体" w:cs="宋体"/>
          <w:color w:val="000000"/>
          <w:sz w:val="24"/>
          <w:szCs w:val="24"/>
          <w:highlight w:val="none"/>
        </w:rPr>
        <w:br/>
      </w:r>
      <w:r>
        <w:rPr>
          <w:rFonts w:hint="eastAsia" w:ascii="宋体" w:hAnsi="宋体" w:eastAsia="宋体" w:cs="宋体"/>
          <w:color w:val="000000"/>
          <w:sz w:val="24"/>
          <w:szCs w:val="24"/>
          <w:highlight w:val="none"/>
        </w:rPr>
        <w:t xml:space="preserve">   29.2.2</w:t>
      </w:r>
      <w:r>
        <w:rPr>
          <w:rFonts w:hint="eastAsia" w:ascii="宋体" w:hAnsi="宋体" w:eastAsia="宋体" w:cs="宋体"/>
          <w:color w:val="000000"/>
          <w:sz w:val="24"/>
          <w:szCs w:val="24"/>
          <w:highlight w:val="none"/>
          <w:lang w:val="en-US" w:eastAsia="zh-CN"/>
        </w:rPr>
        <w:t xml:space="preserve"> </w:t>
      </w:r>
      <w:r>
        <w:rPr>
          <w:rFonts w:hint="eastAsia" w:ascii="宋体" w:hAnsi="宋体" w:eastAsia="宋体" w:cs="宋体"/>
          <w:color w:val="000000"/>
          <w:sz w:val="24"/>
          <w:szCs w:val="24"/>
          <w:highlight w:val="none"/>
        </w:rPr>
        <w:t xml:space="preserve">对采购过程提出质疑的，为各采购程序环节结束之日；</w:t>
      </w:r>
      <w:r>
        <w:rPr>
          <w:rFonts w:hint="eastAsia" w:ascii="宋体" w:hAnsi="宋体" w:eastAsia="宋体" w:cs="宋体"/>
          <w:color w:val="000000"/>
          <w:sz w:val="24"/>
          <w:szCs w:val="24"/>
          <w:highlight w:val="none"/>
        </w:rPr>
        <w:br/>
      </w:r>
      <w:r>
        <w:rPr>
          <w:rFonts w:hint="eastAsia" w:ascii="宋体" w:hAnsi="宋体" w:eastAsia="宋体" w:cs="宋体"/>
          <w:color w:val="000000"/>
          <w:sz w:val="24"/>
          <w:szCs w:val="24"/>
          <w:highlight w:val="none"/>
        </w:rPr>
        <w:t xml:space="preserve">   29.2.3</w:t>
      </w:r>
      <w:r>
        <w:rPr>
          <w:rFonts w:hint="eastAsia" w:ascii="宋体" w:hAnsi="宋体" w:eastAsia="宋体" w:cs="宋体"/>
          <w:color w:val="000000"/>
          <w:sz w:val="24"/>
          <w:szCs w:val="24"/>
          <w:highlight w:val="none"/>
          <w:lang w:val="en-US" w:eastAsia="zh-CN"/>
        </w:rPr>
        <w:t xml:space="preserve"> </w:t>
      </w:r>
      <w:r>
        <w:rPr>
          <w:rFonts w:hint="eastAsia" w:ascii="宋体" w:hAnsi="宋体" w:eastAsia="宋体" w:cs="宋体"/>
          <w:color w:val="000000"/>
          <w:sz w:val="24"/>
          <w:szCs w:val="24"/>
          <w:highlight w:val="none"/>
        </w:rPr>
        <w:t xml:space="preserve">对中标或者成交结果提出质疑的，为中标或者成交结果公告期限届满之日。</w:t>
      </w:r>
      <w:r/>
    </w:p>
    <w:p>
      <w:pPr>
        <w:pStyle w:val="856"/>
        <w:ind w:firstLine="480"/>
        <w:jc w:val="both"/>
        <w:pageBreakBefore w:val="0"/>
        <w:spacing w:beforeAutospacing="0" w:afterAutospacing="0" w:line="460" w:lineRule="exact"/>
        <w:widowControl w:val="off"/>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供应商应当在法定质疑期内一次性提出针对同一采购程序环节的质疑。供应商如在法定期限内对同一采购程序环节提出多次质疑的，</w:t>
      </w:r>
      <w:r>
        <w:rPr>
          <w:rFonts w:hint="eastAsia" w:ascii="宋体" w:hAnsi="宋体" w:eastAsia="宋体" w:cs="宋体"/>
          <w:color w:val="000000"/>
          <w:sz w:val="24"/>
          <w:szCs w:val="24"/>
          <w:highlight w:val="none"/>
          <w:lang w:eastAsia="zh-CN"/>
        </w:rPr>
        <w:t xml:space="preserve">采购代理机构</w:t>
      </w:r>
      <w:r>
        <w:rPr>
          <w:rFonts w:hint="eastAsia" w:ascii="宋体" w:hAnsi="宋体" w:eastAsia="宋体" w:cs="宋体"/>
          <w:color w:val="000000"/>
          <w:sz w:val="24"/>
          <w:szCs w:val="24"/>
          <w:highlight w:val="none"/>
        </w:rPr>
        <w:t xml:space="preserve">、采购人将只对供应商第一次质疑作出答复。</w:t>
      </w:r>
      <w:r/>
    </w:p>
    <w:p>
      <w:pPr>
        <w:pStyle w:val="856"/>
        <w:ind w:firstLine="480"/>
        <w:jc w:val="both"/>
        <w:pageBreakBefore w:val="0"/>
        <w:spacing w:beforeAutospacing="0" w:afterAutospacing="0" w:line="460" w:lineRule="exact"/>
        <w:widowControl w:val="off"/>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29.3</w:t>
      </w:r>
      <w:r>
        <w:rPr>
          <w:rFonts w:hint="eastAsia" w:ascii="宋体" w:hAnsi="宋体" w:eastAsia="宋体" w:cs="宋体"/>
          <w:color w:val="000000"/>
          <w:sz w:val="24"/>
          <w:szCs w:val="24"/>
          <w:highlight w:val="none"/>
          <w:lang w:val="en-US" w:eastAsia="zh-CN"/>
        </w:rPr>
        <w:t xml:space="preserve"> </w:t>
      </w:r>
      <w:r>
        <w:rPr>
          <w:rFonts w:hint="eastAsia" w:ascii="宋体" w:hAnsi="宋体" w:eastAsia="宋体" w:cs="宋体"/>
          <w:color w:val="000000"/>
          <w:sz w:val="24"/>
          <w:szCs w:val="24"/>
          <w:highlight w:val="none"/>
        </w:rPr>
        <w:t xml:space="preserve">质疑函必须按照本招标文件中《质疑函范本》要求的格式和内容进行填写。供应商如组成联合体参加投标，则《质疑函范本》中要求签字、盖章、加盖公章之处，联合体各方均须按要求签字、盖章、加盖公章。</w:t>
      </w:r>
      <w:r/>
    </w:p>
    <w:p>
      <w:pPr>
        <w:pStyle w:val="856"/>
        <w:ind w:firstLine="480"/>
        <w:jc w:val="both"/>
        <w:pageBreakBefore w:val="0"/>
        <w:spacing w:beforeAutospacing="0" w:afterAutospacing="0" w:line="46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000000"/>
          <w:sz w:val="24"/>
          <w:szCs w:val="24"/>
          <w:highlight w:val="none"/>
        </w:rPr>
        <w:t xml:space="preserve">29.4 供应</w:t>
      </w:r>
      <w:r>
        <w:rPr>
          <w:rFonts w:hint="eastAsia" w:ascii="宋体" w:hAnsi="宋体" w:eastAsia="宋体" w:cs="宋体"/>
          <w:color w:val="auto"/>
          <w:sz w:val="24"/>
          <w:szCs w:val="24"/>
          <w:highlight w:val="none"/>
        </w:rPr>
        <w:t xml:space="preserve">商（含潜在供应商）对采购方式、招标文件中采购需求、供应商资格条件、评标方法和评标标准、合同文本及资格审查结果的询问、质疑请向采购人提出，由采购人负责答复。供应商对其他事项的询问、质疑请向</w:t>
      </w:r>
      <w:r>
        <w:rPr>
          <w:rFonts w:hint="eastAsia" w:ascii="宋体" w:hAnsi="宋体" w:eastAsia="宋体" w:cs="宋体"/>
          <w:color w:val="auto"/>
          <w:sz w:val="24"/>
          <w:szCs w:val="24"/>
          <w:highlight w:val="none"/>
          <w:lang w:eastAsia="zh-CN"/>
        </w:rPr>
        <w:t xml:space="preserve">采购代理机构</w:t>
      </w:r>
      <w:r>
        <w:rPr>
          <w:rFonts w:hint="eastAsia" w:ascii="宋体" w:hAnsi="宋体" w:eastAsia="宋体" w:cs="宋体"/>
          <w:color w:val="auto"/>
          <w:sz w:val="24"/>
          <w:szCs w:val="24"/>
          <w:highlight w:val="none"/>
        </w:rPr>
        <w:t xml:space="preserve">提出，由</w:t>
      </w:r>
      <w:r>
        <w:rPr>
          <w:rFonts w:hint="eastAsia" w:ascii="宋体" w:hAnsi="宋体" w:eastAsia="宋体" w:cs="宋体"/>
          <w:color w:val="auto"/>
          <w:sz w:val="24"/>
          <w:szCs w:val="24"/>
          <w:highlight w:val="none"/>
          <w:lang w:eastAsia="zh-CN"/>
        </w:rPr>
        <w:t xml:space="preserve">采购代理机构</w:t>
      </w:r>
      <w:r>
        <w:rPr>
          <w:rFonts w:hint="eastAsia" w:ascii="宋体" w:hAnsi="宋体" w:eastAsia="宋体" w:cs="宋体"/>
          <w:color w:val="auto"/>
          <w:sz w:val="24"/>
          <w:szCs w:val="24"/>
          <w:highlight w:val="none"/>
        </w:rPr>
        <w:t xml:space="preserve">负责答复。</w:t>
      </w:r>
      <w:r/>
    </w:p>
    <w:p>
      <w:pPr>
        <w:pStyle w:val="856"/>
        <w:ind w:firstLine="480"/>
        <w:jc w:val="both"/>
        <w:pageBreakBefore w:val="0"/>
        <w:spacing w:beforeAutospacing="0" w:afterAutospacing="0" w:line="46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采购人及</w:t>
      </w:r>
      <w:r>
        <w:rPr>
          <w:rFonts w:hint="eastAsia" w:ascii="宋体" w:hAnsi="宋体" w:eastAsia="宋体" w:cs="宋体"/>
          <w:color w:val="auto"/>
          <w:sz w:val="24"/>
          <w:szCs w:val="24"/>
          <w:highlight w:val="none"/>
          <w:lang w:eastAsia="zh-CN"/>
        </w:rPr>
        <w:t xml:space="preserve">采购代理机构</w:t>
      </w:r>
      <w:r>
        <w:rPr>
          <w:rFonts w:hint="eastAsia" w:ascii="宋体" w:hAnsi="宋体" w:eastAsia="宋体" w:cs="宋体"/>
          <w:color w:val="auto"/>
          <w:sz w:val="24"/>
          <w:szCs w:val="24"/>
          <w:highlight w:val="none"/>
        </w:rPr>
        <w:t xml:space="preserve">只接收以纸质原件形式送达的质疑,采购人和</w:t>
      </w:r>
      <w:r>
        <w:rPr>
          <w:rFonts w:hint="eastAsia" w:ascii="宋体" w:hAnsi="宋体" w:eastAsia="宋体" w:cs="宋体"/>
          <w:color w:val="auto"/>
          <w:sz w:val="24"/>
          <w:szCs w:val="24"/>
          <w:highlight w:val="none"/>
          <w:lang w:eastAsia="zh-CN"/>
        </w:rPr>
        <w:t xml:space="preserve">采购代理机构</w:t>
      </w:r>
      <w:r>
        <w:rPr>
          <w:rFonts w:hint="eastAsia" w:ascii="宋体" w:hAnsi="宋体" w:eastAsia="宋体" w:cs="宋体"/>
          <w:color w:val="auto"/>
          <w:sz w:val="24"/>
          <w:szCs w:val="24"/>
          <w:highlight w:val="none"/>
        </w:rPr>
        <w:t xml:space="preserve">不接受未填写快递运单的快件。</w:t>
      </w:r>
      <w:r/>
    </w:p>
    <w:p>
      <w:pPr>
        <w:ind w:firstLine="480"/>
        <w:keepLines w:val="0"/>
        <w:keepNext w:val="0"/>
        <w:pageBreakBefore w:val="0"/>
        <w:spacing w:line="460" w:lineRule="exact"/>
        <w:widowControl w:val="off"/>
        <w:rPr>
          <w:rFonts w:ascii="宋体" w:hAnsi="宋体"/>
          <w:color w:val="000000"/>
          <w:sz w:val="24"/>
          <w:szCs w:val="24"/>
        </w:rPr>
      </w:pPr>
      <w:r>
        <w:rPr>
          <w:rFonts w:hint="eastAsia" w:ascii="宋体" w:hAnsi="宋体"/>
          <w:color w:val="000000"/>
          <w:sz w:val="24"/>
          <w:szCs w:val="24"/>
        </w:rPr>
        <w:t xml:space="preserve">采购人质疑接收人及联系方式见招标文件第一章。</w:t>
      </w:r>
      <w:r/>
    </w:p>
    <w:p>
      <w:pPr>
        <w:pStyle w:val="856"/>
        <w:ind w:firstLine="480"/>
        <w:jc w:val="both"/>
        <w:pageBreakBefore w:val="0"/>
        <w:spacing w:beforeAutospacing="0" w:afterAutospacing="0" w:line="460" w:lineRule="exact"/>
        <w:widowControl w:val="off"/>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29.5 以下情形的质疑不予受理</w:t>
      </w:r>
      <w:r/>
    </w:p>
    <w:p>
      <w:pPr>
        <w:pStyle w:val="856"/>
        <w:ind w:firstLine="480"/>
        <w:jc w:val="both"/>
        <w:pageBreakBefore w:val="0"/>
        <w:spacing w:beforeAutospacing="0" w:afterAutospacing="0" w:line="460" w:lineRule="exact"/>
        <w:widowControl w:val="off"/>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29.5.1 内容不符合《政府采购质疑和投诉办法》第十二条规定的质疑。</w:t>
      </w:r>
      <w:r/>
    </w:p>
    <w:p>
      <w:pPr>
        <w:pStyle w:val="856"/>
        <w:ind w:firstLine="480"/>
        <w:jc w:val="both"/>
        <w:pageBreakBefore w:val="0"/>
        <w:spacing w:beforeAutospacing="0" w:afterAutospacing="0" w:line="460" w:lineRule="exact"/>
        <w:widowControl w:val="off"/>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29.5.2 超出政府采购法定期限的质疑。</w:t>
      </w:r>
      <w:r/>
    </w:p>
    <w:p>
      <w:pPr>
        <w:pStyle w:val="856"/>
        <w:ind w:firstLine="480"/>
        <w:jc w:val="both"/>
        <w:pageBreakBefore w:val="0"/>
        <w:spacing w:beforeAutospacing="0" w:afterAutospacing="0" w:line="460" w:lineRule="exact"/>
        <w:widowControl w:val="off"/>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29.5.3 以传真、电子邮件等方式递交的非原件形式的质疑。</w:t>
      </w:r>
      <w:r/>
    </w:p>
    <w:p>
      <w:pPr>
        <w:pStyle w:val="856"/>
        <w:ind w:firstLine="480"/>
        <w:jc w:val="both"/>
        <w:pageBreakBefore w:val="0"/>
        <w:spacing w:beforeAutospacing="0" w:afterAutospacing="0" w:line="460" w:lineRule="exact"/>
        <w:widowControl w:val="off"/>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29.5.4 未参加投标活动的供应商或在投标活动中自身权益未受到损害的供应商所提出的质疑。</w:t>
      </w:r>
      <w:r/>
    </w:p>
    <w:p>
      <w:pPr>
        <w:pStyle w:val="856"/>
        <w:ind w:firstLine="480"/>
        <w:jc w:val="both"/>
        <w:pageBreakBefore w:val="0"/>
        <w:spacing w:beforeAutospacing="0" w:afterAutospacing="0" w:line="460" w:lineRule="exact"/>
        <w:widowControl w:val="off"/>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29.5.5</w:t>
      </w:r>
      <w:r>
        <w:rPr>
          <w:rFonts w:hint="eastAsia" w:ascii="宋体" w:hAnsi="宋体" w:eastAsia="宋体" w:cs="宋体"/>
          <w:color w:val="000000"/>
          <w:sz w:val="24"/>
          <w:szCs w:val="24"/>
          <w:highlight w:val="none"/>
          <w:lang w:val="en-US" w:eastAsia="zh-CN"/>
        </w:rPr>
        <w:t xml:space="preserve"> </w:t>
      </w:r>
      <w:r>
        <w:rPr>
          <w:rFonts w:hint="eastAsia" w:ascii="宋体" w:hAnsi="宋体" w:eastAsia="宋体" w:cs="宋体"/>
          <w:color w:val="000000"/>
          <w:sz w:val="24"/>
          <w:szCs w:val="24"/>
          <w:highlight w:val="none"/>
        </w:rPr>
        <w:t xml:space="preserve">供应商组成联合体参加投标，联合体中任何一方或多方未按要求签字、盖章、加盖公章的质疑。</w:t>
      </w:r>
      <w:r/>
    </w:p>
    <w:p>
      <w:pPr>
        <w:pStyle w:val="856"/>
        <w:ind w:firstLine="480"/>
        <w:jc w:val="both"/>
        <w:pageBreakBefore w:val="0"/>
        <w:spacing w:beforeAutospacing="0" w:afterAutospacing="0" w:line="460" w:lineRule="exact"/>
        <w:widowControl w:val="off"/>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29.6</w:t>
      </w:r>
      <w:r>
        <w:rPr>
          <w:rFonts w:hint="eastAsia" w:ascii="宋体" w:hAnsi="宋体" w:eastAsia="宋体" w:cs="宋体"/>
          <w:color w:val="000000"/>
          <w:sz w:val="24"/>
          <w:szCs w:val="24"/>
          <w:highlight w:val="none"/>
          <w:lang w:val="en-US" w:eastAsia="zh-CN"/>
        </w:rPr>
        <w:t xml:space="preserve"> </w:t>
      </w:r>
      <w:r>
        <w:rPr>
          <w:rFonts w:hint="eastAsia" w:ascii="宋体" w:hAnsi="宋体" w:eastAsia="宋体" w:cs="宋体"/>
          <w:color w:val="000000"/>
          <w:sz w:val="24"/>
          <w:szCs w:val="24"/>
          <w:highlight w:val="none"/>
        </w:rPr>
        <w:t xml:space="preserve">供应商提出书面质疑必须有理、有据，不得捏造事实、提供虚假材料进行恶意质疑。否则，一经查实，</w:t>
      </w:r>
      <w:r>
        <w:rPr>
          <w:rFonts w:hint="eastAsia" w:ascii="宋体" w:hAnsi="宋体" w:eastAsia="宋体" w:cs="宋体"/>
          <w:color w:val="000000"/>
          <w:sz w:val="24"/>
          <w:szCs w:val="24"/>
          <w:highlight w:val="none"/>
          <w:lang w:eastAsia="zh-CN"/>
        </w:rPr>
        <w:t xml:space="preserve">采购代理机构</w:t>
      </w:r>
      <w:r>
        <w:rPr>
          <w:rFonts w:hint="eastAsia" w:ascii="宋体" w:hAnsi="宋体" w:eastAsia="宋体" w:cs="宋体"/>
          <w:color w:val="000000"/>
          <w:sz w:val="24"/>
          <w:szCs w:val="24"/>
          <w:highlight w:val="none"/>
        </w:rPr>
        <w:t xml:space="preserve">有权依据政府采购的有关规定，报请政府采购监管部门对该供应商进行相应的行政处罚和记录该供应商的失信信息。</w:t>
      </w:r>
      <w:r/>
    </w:p>
    <w:p>
      <w:pPr>
        <w:pStyle w:val="856"/>
        <w:ind w:firstLine="480"/>
        <w:jc w:val="both"/>
        <w:keepLines/>
        <w:keepNext/>
        <w:pageBreakBefore w:val="0"/>
        <w:spacing w:beforeAutospacing="0" w:afterAutospacing="0" w:line="460" w:lineRule="exact"/>
        <w:widowControl w:val="off"/>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30、中标通知书</w:t>
      </w:r>
      <w:r/>
    </w:p>
    <w:p>
      <w:pPr>
        <w:pStyle w:val="856"/>
        <w:ind w:firstLine="480"/>
        <w:jc w:val="both"/>
        <w:pageBreakBefore w:val="0"/>
        <w:spacing w:beforeAutospacing="0" w:afterAutospacing="0" w:line="460" w:lineRule="exact"/>
        <w:widowControl w:val="off"/>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30.l</w:t>
      </w:r>
      <w:r>
        <w:rPr>
          <w:rFonts w:hint="eastAsia" w:ascii="宋体" w:hAnsi="宋体" w:eastAsia="宋体" w:cs="宋体"/>
          <w:b/>
          <w:color w:val="000000"/>
          <w:sz w:val="24"/>
          <w:szCs w:val="24"/>
          <w:highlight w:val="none"/>
          <w:lang w:val="en-US" w:eastAsia="zh-CN"/>
        </w:rPr>
        <w:t xml:space="preserve"> </w:t>
      </w:r>
      <w:r>
        <w:rPr>
          <w:rFonts w:hint="eastAsia" w:ascii="宋体" w:hAnsi="宋体" w:eastAsia="宋体" w:cs="宋体"/>
          <w:color w:val="000000"/>
          <w:sz w:val="24"/>
          <w:szCs w:val="24"/>
          <w:highlight w:val="none"/>
        </w:rPr>
        <w:t xml:space="preserve">中标结果确定后，</w:t>
      </w:r>
      <w:r>
        <w:rPr>
          <w:rFonts w:hint="eastAsia" w:ascii="宋体" w:hAnsi="宋体" w:eastAsia="宋体" w:cs="宋体"/>
          <w:color w:val="000000"/>
          <w:sz w:val="24"/>
          <w:szCs w:val="24"/>
          <w:highlight w:val="none"/>
          <w:lang w:eastAsia="zh-CN"/>
        </w:rPr>
        <w:t xml:space="preserve">采购代理机构</w:t>
      </w:r>
      <w:r>
        <w:rPr>
          <w:rFonts w:hint="eastAsia" w:ascii="宋体" w:hAnsi="宋体" w:eastAsia="宋体" w:cs="宋体"/>
          <w:color w:val="000000"/>
          <w:sz w:val="24"/>
          <w:szCs w:val="24"/>
          <w:highlight w:val="none"/>
        </w:rPr>
        <w:t xml:space="preserve">将向中标人发出中标通知书。请中标人在中标结果公告届满之日起30日内,使用CA数字证书</w:t>
      </w:r>
      <w:r>
        <w:rPr>
          <w:rFonts w:hint="eastAsia" w:ascii="宋体" w:hAnsi="宋体" w:eastAsia="宋体" w:cs="宋体"/>
          <w:color w:val="auto"/>
          <w:sz w:val="24"/>
          <w:szCs w:val="24"/>
          <w:highlight w:val="none"/>
        </w:rPr>
        <w:t xml:space="preserve">登录苏采云系统及时下载中标通知书。因系统存储空间有限，自中标结果公告届满之日起30日后，苏采云系统不再保证提供下载中标通知书服务,因未及时下载而造成的不利后果由中</w:t>
      </w:r>
      <w:r>
        <w:rPr>
          <w:rFonts w:hint="eastAsia" w:ascii="宋体" w:hAnsi="宋体" w:eastAsia="宋体" w:cs="宋体"/>
          <w:color w:val="000000"/>
          <w:sz w:val="24"/>
          <w:szCs w:val="24"/>
          <w:highlight w:val="none"/>
        </w:rPr>
        <w:t xml:space="preserve">标人自行承担。</w:t>
      </w:r>
      <w:r/>
    </w:p>
    <w:p>
      <w:pPr>
        <w:pStyle w:val="856"/>
        <w:ind w:firstLine="480"/>
        <w:jc w:val="both"/>
        <w:pageBreakBefore w:val="0"/>
        <w:spacing w:beforeAutospacing="0" w:afterAutospacing="0" w:line="460" w:lineRule="exact"/>
        <w:widowControl w:val="off"/>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30.2</w:t>
      </w:r>
      <w:r>
        <w:rPr>
          <w:rFonts w:hint="eastAsia" w:ascii="宋体" w:hAnsi="宋体" w:eastAsia="宋体" w:cs="宋体"/>
          <w:color w:val="000000"/>
          <w:sz w:val="24"/>
          <w:szCs w:val="24"/>
          <w:highlight w:val="none"/>
          <w:lang w:val="en-US" w:eastAsia="zh-CN"/>
        </w:rPr>
        <w:t xml:space="preserve"> </w:t>
      </w:r>
      <w:r>
        <w:rPr>
          <w:rFonts w:hint="eastAsia" w:ascii="宋体" w:hAnsi="宋体" w:eastAsia="宋体" w:cs="宋体"/>
          <w:color w:val="000000"/>
          <w:sz w:val="24"/>
          <w:szCs w:val="24"/>
          <w:highlight w:val="none"/>
        </w:rPr>
        <w:t xml:space="preserve">中标通知书将是合同的一个组成部分。对采购人和中标供应商均具有法律效力。中标通知书发出后，采购人改变中标结果的，或者中标供应商放弃中标项目的，应当依法承担法律责任。</w:t>
      </w:r>
      <w:r/>
    </w:p>
    <w:p>
      <w:pPr>
        <w:pStyle w:val="856"/>
        <w:ind w:firstLine="482"/>
        <w:jc w:val="both"/>
        <w:keepLines/>
        <w:keepNext/>
        <w:pageBreakBefore w:val="0"/>
        <w:spacing w:beforeAutospacing="0" w:afterAutospacing="0" w:line="460" w:lineRule="exact"/>
        <w:widowControl w:val="off"/>
        <w:rPr>
          <w:rFonts w:hint="eastAsia" w:ascii="宋体" w:hAnsi="宋体" w:eastAsia="宋体" w:cs="宋体"/>
          <w:sz w:val="24"/>
          <w:szCs w:val="24"/>
          <w:highlight w:val="none"/>
        </w:rPr>
      </w:pPr>
      <w:r/>
      <w:bookmarkStart w:id="153" w:name="_Toc20823308"/>
      <w:r/>
      <w:bookmarkStart w:id="154" w:name="_Toc513029236"/>
      <w:r/>
      <w:bookmarkStart w:id="155" w:name="_Toc16938552"/>
      <w:r/>
      <w:bookmarkStart w:id="156" w:name="_Toc120614220"/>
      <w:r>
        <w:rPr>
          <w:rFonts w:hint="eastAsia" w:ascii="宋体" w:hAnsi="宋体" w:eastAsia="宋体" w:cs="宋体"/>
          <w:b/>
          <w:color w:val="000000"/>
          <w:sz w:val="24"/>
          <w:szCs w:val="24"/>
          <w:highlight w:val="none"/>
        </w:rPr>
        <w:t xml:space="preserve">七、授予合同</w:t>
      </w:r>
      <w:bookmarkEnd w:id="153"/>
      <w:r/>
      <w:bookmarkEnd w:id="154"/>
      <w:r/>
      <w:bookmarkEnd w:id="155"/>
      <w:r/>
      <w:bookmarkEnd w:id="156"/>
      <w:r/>
      <w:r/>
    </w:p>
    <w:p>
      <w:pPr>
        <w:pStyle w:val="856"/>
        <w:ind w:firstLine="480"/>
        <w:jc w:val="both"/>
        <w:keepLines/>
        <w:keepNext/>
        <w:pageBreakBefore w:val="0"/>
        <w:spacing w:beforeAutospacing="0" w:afterAutospacing="0" w:line="460" w:lineRule="exact"/>
        <w:widowControl w:val="off"/>
        <w:rPr>
          <w:rFonts w:hint="eastAsia" w:ascii="宋体" w:hAnsi="宋体" w:eastAsia="宋体" w:cs="宋体"/>
          <w:sz w:val="24"/>
          <w:szCs w:val="24"/>
          <w:highlight w:val="none"/>
        </w:rPr>
      </w:pPr>
      <w:r/>
      <w:bookmarkStart w:id="157" w:name="_Toc20823309"/>
      <w:r/>
      <w:bookmarkStart w:id="158" w:name="_Toc16938553"/>
      <w:r/>
      <w:bookmarkStart w:id="159" w:name="_Toc513029237"/>
      <w:r>
        <w:rPr>
          <w:rFonts w:hint="eastAsia" w:ascii="宋体" w:hAnsi="宋体" w:eastAsia="宋体" w:cs="宋体"/>
          <w:color w:val="000000"/>
          <w:sz w:val="24"/>
          <w:szCs w:val="24"/>
          <w:highlight w:val="none"/>
        </w:rPr>
        <w:t xml:space="preserve">31</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签订合同</w:t>
      </w:r>
      <w:bookmarkEnd w:id="157"/>
      <w:r/>
      <w:bookmarkEnd w:id="158"/>
      <w:r/>
      <w:bookmarkEnd w:id="159"/>
      <w:r/>
      <w:r/>
    </w:p>
    <w:p>
      <w:pPr>
        <w:pStyle w:val="856"/>
        <w:ind w:firstLine="480"/>
        <w:jc w:val="both"/>
        <w:pageBreakBefore w:val="0"/>
        <w:spacing w:beforeAutospacing="0" w:afterAutospacing="0" w:line="46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31.l</w:t>
      </w:r>
      <w:r>
        <w:rPr>
          <w:rFonts w:hint="eastAsia" w:ascii="宋体" w:hAnsi="宋体" w:eastAsia="宋体" w:cs="宋体"/>
          <w:color w:val="000000"/>
          <w:sz w:val="24"/>
          <w:szCs w:val="24"/>
          <w:highlight w:val="none"/>
          <w:lang w:val="en-US" w:eastAsia="zh-CN"/>
        </w:rPr>
        <w:t xml:space="preserve"> </w:t>
      </w:r>
      <w:r>
        <w:rPr>
          <w:rFonts w:hint="eastAsia" w:ascii="宋体" w:hAnsi="宋体" w:eastAsia="宋体" w:cs="宋体"/>
          <w:color w:val="000000"/>
          <w:sz w:val="24"/>
          <w:szCs w:val="24"/>
          <w:highlight w:val="none"/>
        </w:rPr>
        <w:t xml:space="preserve">中标人应当在中标通知书发出之日起三十日内</w:t>
      </w:r>
      <w:r>
        <w:rPr>
          <w:rFonts w:hint="eastAsia" w:ascii="宋体" w:hAnsi="宋体"/>
          <w:sz w:val="24"/>
          <w:szCs w:val="24"/>
        </w:rPr>
        <w:t xml:space="preserve">（原则上应在15日内</w:t>
      </w:r>
      <w:r>
        <w:rPr>
          <w:rFonts w:hint="eastAsia" w:ascii="宋体" w:hAnsi="宋体"/>
          <w:sz w:val="24"/>
          <w:szCs w:val="24"/>
          <w:lang w:eastAsia="zh-CN"/>
        </w:rPr>
        <w:t xml:space="preserve">）</w:t>
      </w:r>
      <w:r>
        <w:rPr>
          <w:rFonts w:hint="eastAsia" w:ascii="宋体" w:hAnsi="宋体" w:eastAsia="宋体" w:cs="宋体"/>
          <w:color w:val="000000"/>
          <w:sz w:val="24"/>
          <w:szCs w:val="24"/>
          <w:highlight w:val="none"/>
        </w:rPr>
        <w:t xml:space="preserve">，按照招标文件确定的事项与采购人签订政府采购合同。合同签订后2个工作日内合同公示。所签订的合同不得对招标文件确定的事项和中标人响应文件作实质性修改。</w:t>
      </w:r>
      <w:r/>
    </w:p>
    <w:p>
      <w:pPr>
        <w:pStyle w:val="856"/>
        <w:ind w:firstLine="480"/>
        <w:jc w:val="both"/>
        <w:pageBreakBefore w:val="0"/>
        <w:spacing w:beforeAutospacing="0" w:afterAutospacing="0" w:line="460" w:lineRule="exact"/>
        <w:widowControl w:val="off"/>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31.2</w:t>
      </w:r>
      <w:r>
        <w:rPr>
          <w:rFonts w:hint="eastAsia" w:ascii="宋体" w:hAnsi="宋体" w:eastAsia="宋体" w:cs="宋体"/>
          <w:color w:val="000000"/>
          <w:sz w:val="24"/>
          <w:szCs w:val="24"/>
          <w:highlight w:val="none"/>
          <w:lang w:val="en-US" w:eastAsia="zh-CN"/>
        </w:rPr>
        <w:t xml:space="preserve"> </w:t>
      </w:r>
      <w:r>
        <w:rPr>
          <w:rFonts w:hint="eastAsia" w:ascii="宋体" w:hAnsi="宋体" w:eastAsia="宋体" w:cs="宋体"/>
          <w:color w:val="000000"/>
          <w:sz w:val="24"/>
          <w:szCs w:val="24"/>
          <w:highlight w:val="none"/>
        </w:rPr>
        <w:t xml:space="preserve">招标文件、中标人的投标文件及招标过程中有关澄清、承诺文件均应作为合同附件。</w:t>
      </w:r>
      <w:r/>
    </w:p>
    <w:p>
      <w:pPr>
        <w:pStyle w:val="856"/>
        <w:ind w:firstLine="480"/>
        <w:jc w:val="both"/>
        <w:pageBreakBefore w:val="0"/>
        <w:spacing w:beforeAutospacing="0" w:afterAutospacing="0" w:line="460" w:lineRule="exact"/>
        <w:widowControl w:val="off"/>
        <w:rPr>
          <w:rFonts w:hint="eastAsia" w:ascii="宋体" w:hAnsi="宋体" w:eastAsia="宋体" w:cs="宋体"/>
          <w:sz w:val="24"/>
          <w:szCs w:val="24"/>
          <w:highlight w:val="none"/>
          <w:shd w:val="clear" w:color="auto" w:fill="auto"/>
        </w:rPr>
      </w:pPr>
      <w:r>
        <w:rPr>
          <w:rFonts w:hint="eastAsia" w:ascii="宋体" w:hAnsi="宋体" w:eastAsia="宋体" w:cs="宋体"/>
          <w:color w:val="000000"/>
          <w:sz w:val="24"/>
          <w:szCs w:val="24"/>
          <w:highlight w:val="none"/>
        </w:rPr>
        <w:t xml:space="preserve">31.3 签订合同后，</w:t>
      </w:r>
      <w:r>
        <w:rPr>
          <w:rFonts w:hint="eastAsia" w:ascii="宋体" w:hAnsi="宋体" w:eastAsia="宋体" w:cs="宋体"/>
          <w:i/>
          <w:color w:val="000000"/>
          <w:sz w:val="24"/>
          <w:szCs w:val="24"/>
          <w:highlight w:val="none"/>
          <w:u w:val="single"/>
        </w:rPr>
        <w:t xml:space="preserve">中标人不得将合同标的进行转包</w:t>
      </w:r>
      <w:r>
        <w:rPr>
          <w:rFonts w:hint="eastAsia" w:ascii="宋体" w:hAnsi="宋体" w:eastAsia="宋体" w:cs="宋体"/>
          <w:color w:val="000000"/>
          <w:sz w:val="24"/>
          <w:szCs w:val="24"/>
          <w:highlight w:val="none"/>
        </w:rPr>
        <w:t xml:space="preserve">。未经采购人同意，中标人也不得采用分包的形式履行合同，否则采购人有权终止合同。转包或分包造成采</w:t>
      </w:r>
      <w:r>
        <w:rPr>
          <w:rFonts w:hint="eastAsia" w:ascii="宋体" w:hAnsi="宋体" w:eastAsia="宋体" w:cs="宋体"/>
          <w:color w:val="000000"/>
          <w:sz w:val="24"/>
          <w:szCs w:val="24"/>
          <w:highlight w:val="none"/>
          <w:shd w:val="clear" w:color="auto" w:fill="auto"/>
        </w:rPr>
        <w:t xml:space="preserve">购人损失的，中标人应承担相应赔偿责任。</w:t>
      </w:r>
      <w:r/>
    </w:p>
    <w:p>
      <w:pPr>
        <w:pStyle w:val="856"/>
        <w:ind w:firstLine="480"/>
        <w:jc w:val="both"/>
        <w:keepLines/>
        <w:keepNext/>
        <w:pageBreakBefore w:val="0"/>
        <w:spacing w:beforeAutospacing="0" w:afterAutospacing="0" w:line="460" w:lineRule="exact"/>
        <w:widowControl w:val="off"/>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32、货物（包含与货物相关的服务）的追加</w:t>
      </w:r>
      <w:r/>
    </w:p>
    <w:p>
      <w:pPr>
        <w:pStyle w:val="856"/>
        <w:ind w:firstLine="480"/>
        <w:jc w:val="both"/>
        <w:pageBreakBefore w:val="0"/>
        <w:spacing w:beforeAutospacing="0" w:afterAutospacing="0" w:line="460" w:lineRule="exact"/>
        <w:widowControl w:val="off"/>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32.1</w:t>
      </w:r>
      <w:r>
        <w:rPr>
          <w:rFonts w:hint="eastAsia" w:ascii="宋体" w:hAnsi="宋体" w:eastAsia="宋体" w:cs="宋体"/>
          <w:color w:val="000000"/>
          <w:sz w:val="24"/>
          <w:szCs w:val="24"/>
          <w:highlight w:val="none"/>
          <w:lang w:val="en-US" w:eastAsia="zh-CN"/>
        </w:rPr>
        <w:t xml:space="preserve"> </w:t>
      </w:r>
      <w:r>
        <w:rPr>
          <w:rFonts w:hint="eastAsia" w:ascii="宋体" w:hAnsi="宋体" w:eastAsia="宋体" w:cs="宋体"/>
          <w:color w:val="000000"/>
          <w:sz w:val="24"/>
          <w:szCs w:val="24"/>
          <w:highlight w:val="none"/>
        </w:rPr>
        <w:t xml:space="preserve">政府采购合同履行中，采购人需追加与合同标的相同的货物（包含与货物相关的服务）的，在不改变合同其他条款的前提下，可以与中标人协商签订补充合同，但所有补充合同的采购金额不超过原合同金额10%。</w:t>
      </w:r>
      <w:r/>
    </w:p>
    <w:p>
      <w:pPr>
        <w:pStyle w:val="856"/>
        <w:numPr>
          <w:ilvl w:val="0"/>
          <w:numId w:val="0"/>
        </w:numPr>
        <w:ind w:firstLine="480"/>
        <w:jc w:val="both"/>
        <w:pageBreakBefore w:val="0"/>
        <w:spacing w:beforeAutospacing="0" w:afterAutospacing="0" w:line="460" w:lineRule="exact"/>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33、政府采购政策功能落实</w:t>
      </w:r>
      <w:r/>
    </w:p>
    <w:p>
      <w:pPr>
        <w:pStyle w:val="856"/>
        <w:ind w:firstLine="480"/>
        <w:jc w:val="both"/>
        <w:keepLines/>
        <w:keepNext/>
        <w:pageBreakBefore w:val="0"/>
        <w:spacing w:beforeAutospacing="0" w:afterAutospacing="0" w:line="46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33.1 </w:t>
      </w:r>
      <w:r>
        <w:rPr>
          <w:rFonts w:hint="eastAsia" w:ascii="宋体" w:hAnsi="宋体" w:eastAsia="宋体" w:cs="宋体"/>
          <w:color w:val="auto"/>
          <w:sz w:val="24"/>
          <w:szCs w:val="24"/>
          <w:highlight w:val="none"/>
        </w:rPr>
        <w:t xml:space="preserve">政府采购</w:t>
      </w:r>
      <w:r>
        <w:rPr>
          <w:rFonts w:hint="eastAsia" w:ascii="宋体" w:hAnsi="宋体" w:eastAsia="宋体" w:cs="宋体"/>
          <w:color w:val="auto"/>
          <w:sz w:val="24"/>
          <w:szCs w:val="24"/>
          <w:highlight w:val="none"/>
          <w:lang w:eastAsia="zh-CN"/>
        </w:rPr>
        <w:t xml:space="preserve">线上合同信用融资</w:t>
      </w:r>
      <w:r>
        <w:rPr>
          <w:rFonts w:hint="eastAsia" w:ascii="宋体" w:hAnsi="宋体" w:eastAsia="宋体" w:cs="宋体"/>
          <w:color w:val="auto"/>
          <w:sz w:val="24"/>
          <w:szCs w:val="24"/>
          <w:highlight w:val="none"/>
        </w:rPr>
        <w:t xml:space="preserve">政策</w:t>
      </w:r>
      <w:r/>
    </w:p>
    <w:p>
      <w:pPr>
        <w:pStyle w:val="856"/>
        <w:ind w:firstLine="480"/>
        <w:jc w:val="both"/>
        <w:pageBreakBefore w:val="0"/>
        <w:spacing w:beforeAutospacing="0" w:afterAutospacing="0" w:line="46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根据《转发江苏省财政厅 中国人民银行南京分行&lt;关于深入推进政府采购线上合同信用融资工作的通知&gt;的通知》（盐财购〔2021〕20号）规定，中标供应商如有融资需求，可持政府采购合同在线向相关金融机构（具体信息详见</w:t>
      </w:r>
      <w:r>
        <w:rPr>
          <w:rFonts w:hint="eastAsia" w:ascii="宋体" w:hAnsi="宋体" w:eastAsia="宋体" w:cs="宋体"/>
          <w:color w:val="auto"/>
          <w:sz w:val="24"/>
          <w:szCs w:val="24"/>
          <w:highlight w:val="none"/>
          <w:lang w:val="en-US" w:eastAsia="zh-CN"/>
        </w:rPr>
        <w:t xml:space="preserve">江苏</w:t>
      </w:r>
      <w:r>
        <w:rPr>
          <w:rFonts w:hint="eastAsia" w:ascii="宋体" w:hAnsi="宋体" w:eastAsia="宋体" w:cs="宋体"/>
          <w:color w:val="auto"/>
          <w:sz w:val="24"/>
          <w:szCs w:val="24"/>
          <w:highlight w:val="none"/>
        </w:rPr>
        <w:t xml:space="preserve">政府采购网“政采贷”栏目）申请贷款，相关金融机构按照双方自愿的原则提供便捷、优惠的贷款服务；具体操作流程请参考苏采云系统中操作手册。 </w:t>
      </w:r>
      <w:r/>
    </w:p>
    <w:p>
      <w:pPr>
        <w:ind w:firstLine="480"/>
        <w:pageBreakBefore w:val="0"/>
        <w:spacing w:line="460" w:lineRule="exact"/>
        <w:widowControl w:val="off"/>
        <w:tabs>
          <w:tab w:val="left" w:pos="1381" w:leader="none"/>
        </w:tabs>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33.2 进口产品</w:t>
      </w:r>
      <w:r/>
    </w:p>
    <w:p>
      <w:pPr>
        <w:pStyle w:val="856"/>
        <w:ind w:firstLine="480"/>
        <w:jc w:val="both"/>
        <w:pageBreakBefore w:val="0"/>
        <w:spacing w:beforeAutospacing="0" w:afterAutospacing="0" w:line="46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进口产品</w:t>
      </w:r>
      <w:r>
        <w:rPr>
          <w:rFonts w:hint="eastAsia" w:ascii="宋体" w:hAnsi="宋体" w:eastAsia="宋体" w:cs="宋体"/>
          <w:color w:val="auto"/>
          <w:sz w:val="24"/>
          <w:szCs w:val="24"/>
          <w:highlight w:val="none"/>
        </w:rPr>
        <w:t xml:space="preserve">指通过中国海关报关验放进入中国境内且产自关境外的产品，包括已经进入中国境内的进口产品。关于进口产品的相关规定依据《政府采购进口产品管理办法》（财库〔2007〕119号文）、《关于政府采购进口产品管理有关问题的通知》（财办库〔2008〕248号文）。</w:t>
      </w:r>
      <w:r/>
    </w:p>
    <w:p>
      <w:pPr>
        <w:ind w:firstLine="480"/>
        <w:pageBreakBefore w:val="0"/>
        <w:spacing w:line="460" w:lineRule="exact"/>
        <w:widowControl w:val="off"/>
        <w:tabs>
          <w:tab w:val="left" w:pos="1381" w:leader="none"/>
        </w:tabs>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33.3 中小企业、监狱企业及残疾人福利性单位</w:t>
      </w:r>
      <w:r/>
    </w:p>
    <w:p>
      <w:pPr>
        <w:ind w:firstLine="480"/>
        <w:pageBreakBefore w:val="0"/>
        <w:spacing w:line="46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3</w:t>
      </w:r>
      <w:r>
        <w:rPr>
          <w:rFonts w:hint="eastAsia" w:ascii="宋体" w:hAnsi="宋体" w:eastAsia="宋体" w:cs="宋体"/>
          <w:sz w:val="24"/>
          <w:szCs w:val="24"/>
          <w:highlight w:val="none"/>
          <w:lang w:val="en-US" w:eastAsia="zh-CN"/>
        </w:rPr>
        <w:t xml:space="preserve">3</w:t>
      </w:r>
      <w:r>
        <w:rPr>
          <w:rFonts w:hint="eastAsia" w:ascii="宋体" w:hAnsi="宋体" w:eastAsia="宋体" w:cs="宋体"/>
          <w:sz w:val="24"/>
          <w:szCs w:val="24"/>
          <w:highlight w:val="none"/>
        </w:rPr>
        <w:t xml:space="preserve">.3.1</w:t>
      </w:r>
      <w:r>
        <w:rPr>
          <w:rFonts w:hint="eastAsia" w:ascii="宋体" w:hAnsi="宋体" w:eastAsia="宋体" w:cs="宋体"/>
          <w:sz w:val="24"/>
          <w:szCs w:val="24"/>
          <w:highlight w:val="none"/>
          <w:lang w:val="en-US" w:eastAsia="zh-CN"/>
        </w:rPr>
        <w:t xml:space="preserve"> </w:t>
      </w:r>
      <w:r>
        <w:rPr>
          <w:rFonts w:hint="eastAsia" w:ascii="宋体" w:hAnsi="宋体" w:eastAsia="宋体" w:cs="宋体"/>
          <w:sz w:val="24"/>
          <w:szCs w:val="24"/>
          <w:highlight w:val="none"/>
        </w:rPr>
        <w:t xml:space="preserve">中小企业定义：</w:t>
      </w:r>
      <w:r/>
    </w:p>
    <w:p>
      <w:pPr>
        <w:pStyle w:val="856"/>
        <w:ind w:firstLine="480"/>
        <w:jc w:val="both"/>
        <w:pageBreakBefore w:val="0"/>
        <w:spacing w:beforeAutospacing="0" w:afterAutospacing="0" w:line="46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中小企业是</w:t>
      </w:r>
      <w:r>
        <w:rPr>
          <w:rFonts w:hint="eastAsia" w:ascii="宋体" w:hAnsi="宋体" w:eastAsia="宋体" w:cs="宋体"/>
          <w:color w:val="auto"/>
          <w:sz w:val="24"/>
          <w:szCs w:val="24"/>
          <w:highlight w:val="none"/>
        </w:rPr>
        <w:t xml:space="preserve">指在中华人民共和国境内依法设立，依据国务院批准的中小企业划分标准确定的中型企业、小型企业和微型企业，但与大企业的负责人为同一人，或者与大企业存在直接控股、管理关系的除外。符合中小企业划分标准的个体工商户，在政府采购活动中视同中小企业。关于中小企业的相关规定依据《中华人民共和国中小企业促进法》、《政府采购促进中小企业发展管理办法》（财库〔2020〕46号）、《关于印发中小企业划型标准规定的通知》（工信部联企业〔2011〕300 号）、《国务院关于进一步促进中小企业发展的若干意见》（国发〔2009〕36 号）。</w:t>
      </w:r>
      <w:r/>
    </w:p>
    <w:p>
      <w:pPr>
        <w:pStyle w:val="856"/>
        <w:ind w:firstLine="480"/>
        <w:jc w:val="both"/>
        <w:pageBreakBefore w:val="0"/>
        <w:spacing w:beforeAutospacing="0" w:afterAutospacing="0" w:line="46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w:t>
      </w:r>
      <w:r>
        <w:rPr>
          <w:rFonts w:hint="eastAsia" w:ascii="宋体" w:hAnsi="宋体" w:eastAsia="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rPr>
        <w:t xml:space="preserve">.3.2</w:t>
      </w:r>
      <w:r>
        <w:rPr>
          <w:rFonts w:hint="eastAsia" w:ascii="宋体" w:hAnsi="宋体" w:eastAsia="宋体" w:cs="宋体"/>
          <w:color w:val="auto"/>
          <w:sz w:val="24"/>
          <w:szCs w:val="24"/>
          <w:highlight w:val="none"/>
          <w:lang w:val="en-US" w:eastAsia="zh-CN"/>
        </w:rPr>
        <w:t xml:space="preserve"> </w:t>
      </w:r>
      <w:r>
        <w:rPr>
          <w:rFonts w:hint="eastAsia" w:ascii="宋体" w:hAnsi="宋体" w:eastAsia="宋体" w:cs="宋体"/>
          <w:color w:val="auto"/>
          <w:sz w:val="24"/>
          <w:szCs w:val="24"/>
          <w:highlight w:val="none"/>
        </w:rPr>
        <w:t xml:space="preserve">供应商提供的货物、工程或者服务符合下列情形的，享受中小企业扶持政策：</w:t>
      </w:r>
      <w:r/>
    </w:p>
    <w:p>
      <w:pPr>
        <w:pStyle w:val="856"/>
        <w:ind w:firstLine="480"/>
        <w:jc w:val="both"/>
        <w:pageBreakBefore w:val="0"/>
        <w:spacing w:beforeAutospacing="0" w:afterAutospacing="0" w:line="46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w:t>
      </w:r>
      <w:r>
        <w:rPr>
          <w:rFonts w:hint="eastAsia" w:ascii="宋体" w:hAnsi="宋体" w:eastAsia="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rPr>
        <w:t xml:space="preserve">.3.2.1</w:t>
      </w:r>
      <w:r>
        <w:rPr>
          <w:rFonts w:hint="eastAsia" w:ascii="宋体" w:hAnsi="宋体" w:eastAsia="宋体" w:cs="宋体"/>
          <w:color w:val="auto"/>
          <w:sz w:val="24"/>
          <w:szCs w:val="24"/>
          <w:highlight w:val="none"/>
          <w:lang w:val="en-US" w:eastAsia="zh-CN"/>
        </w:rPr>
        <w:t xml:space="preserve"> </w:t>
      </w:r>
      <w:r>
        <w:rPr>
          <w:rFonts w:hint="eastAsia" w:ascii="宋体" w:hAnsi="宋体" w:eastAsia="宋体" w:cs="宋体"/>
          <w:color w:val="auto"/>
          <w:sz w:val="24"/>
          <w:szCs w:val="24"/>
          <w:highlight w:val="none"/>
        </w:rPr>
        <w:t xml:space="preserve">在货物采购项目中，货物由中小企业制造，即货物由中小企业生产且使用该中小企业商号或者注册商标；</w:t>
      </w:r>
      <w:r/>
    </w:p>
    <w:p>
      <w:pPr>
        <w:pStyle w:val="856"/>
        <w:ind w:firstLine="480"/>
        <w:jc w:val="both"/>
        <w:pageBreakBefore w:val="0"/>
        <w:spacing w:beforeAutospacing="0" w:afterAutospacing="0" w:line="46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w:t>
      </w:r>
      <w:r>
        <w:rPr>
          <w:rFonts w:hint="eastAsia" w:ascii="宋体" w:hAnsi="宋体" w:eastAsia="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rPr>
        <w:t xml:space="preserve">.3.2.2</w:t>
      </w:r>
      <w:r>
        <w:rPr>
          <w:rFonts w:hint="eastAsia" w:ascii="宋体" w:hAnsi="宋体" w:eastAsia="宋体" w:cs="宋体"/>
          <w:color w:val="auto"/>
          <w:sz w:val="24"/>
          <w:szCs w:val="24"/>
          <w:highlight w:val="none"/>
          <w:lang w:val="en-US" w:eastAsia="zh-CN"/>
        </w:rPr>
        <w:t xml:space="preserve"> </w:t>
      </w:r>
      <w:r>
        <w:rPr>
          <w:rFonts w:hint="eastAsia" w:ascii="宋体" w:hAnsi="宋体" w:eastAsia="宋体" w:cs="宋体"/>
          <w:color w:val="auto"/>
          <w:sz w:val="24"/>
          <w:szCs w:val="24"/>
          <w:highlight w:val="none"/>
        </w:rPr>
        <w:t xml:space="preserve">在工程采购项目中，工程由中小企业承建，即工程施工单位为中小企业；</w:t>
      </w:r>
      <w:r/>
    </w:p>
    <w:p>
      <w:pPr>
        <w:pStyle w:val="856"/>
        <w:ind w:firstLine="480"/>
        <w:jc w:val="both"/>
        <w:pageBreakBefore w:val="0"/>
        <w:spacing w:beforeAutospacing="0" w:afterAutospacing="0" w:line="46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w:t>
      </w:r>
      <w:r>
        <w:rPr>
          <w:rFonts w:hint="eastAsia" w:ascii="宋体" w:hAnsi="宋体" w:eastAsia="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rPr>
        <w:t xml:space="preserve">.3.2.3</w:t>
      </w:r>
      <w:r>
        <w:rPr>
          <w:rFonts w:hint="eastAsia" w:ascii="宋体" w:hAnsi="宋体" w:eastAsia="宋体" w:cs="宋体"/>
          <w:color w:val="auto"/>
          <w:sz w:val="24"/>
          <w:szCs w:val="24"/>
          <w:highlight w:val="none"/>
          <w:lang w:val="en-US" w:eastAsia="zh-CN"/>
        </w:rPr>
        <w:t xml:space="preserve"> </w:t>
      </w:r>
      <w:r>
        <w:rPr>
          <w:rFonts w:hint="eastAsia" w:ascii="宋体" w:hAnsi="宋体" w:eastAsia="宋体" w:cs="宋体"/>
          <w:color w:val="auto"/>
          <w:sz w:val="24"/>
          <w:szCs w:val="24"/>
          <w:highlight w:val="none"/>
        </w:rPr>
        <w:t xml:space="preserve">在服务采购项目中，服务由中小企业承接，即提供服务的人员为中小企业依照《中华人民共和国劳动合同法》订立劳动合同的从业人员。</w:t>
      </w:r>
      <w:r/>
    </w:p>
    <w:p>
      <w:pPr>
        <w:pStyle w:val="856"/>
        <w:ind w:firstLine="480"/>
        <w:jc w:val="both"/>
        <w:pageBreakBefore w:val="0"/>
        <w:spacing w:beforeAutospacing="0" w:afterAutospacing="0" w:line="46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w:t>
      </w:r>
      <w:r>
        <w:rPr>
          <w:rFonts w:hint="eastAsia" w:ascii="宋体" w:hAnsi="宋体" w:eastAsia="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rPr>
        <w:t xml:space="preserve">.3.3</w:t>
      </w:r>
      <w:r>
        <w:rPr>
          <w:rFonts w:hint="eastAsia" w:ascii="宋体" w:hAnsi="宋体" w:eastAsia="宋体" w:cs="宋体"/>
          <w:color w:val="auto"/>
          <w:sz w:val="24"/>
          <w:szCs w:val="24"/>
          <w:highlight w:val="none"/>
          <w:lang w:val="en-US" w:eastAsia="zh-CN"/>
        </w:rPr>
        <w:t xml:space="preserve"> </w:t>
      </w:r>
      <w:r>
        <w:rPr>
          <w:rFonts w:hint="eastAsia" w:ascii="宋体" w:hAnsi="宋体" w:eastAsia="宋体" w:cs="宋体"/>
          <w:color w:val="auto"/>
          <w:sz w:val="24"/>
          <w:szCs w:val="24"/>
          <w:highlight w:val="none"/>
        </w:rPr>
        <w:t xml:space="preserve">在货物采购项目中，供应商提供的货物既有中小企业制造货物，也有大型企业制造货物的，不享受中小企业扶持政策。</w:t>
      </w:r>
      <w:r/>
    </w:p>
    <w:p>
      <w:pPr>
        <w:pStyle w:val="856"/>
        <w:ind w:firstLine="480"/>
        <w:jc w:val="both"/>
        <w:pageBreakBefore w:val="0"/>
        <w:spacing w:beforeAutospacing="0" w:afterAutospacing="0" w:line="46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w:t>
      </w:r>
      <w:r>
        <w:rPr>
          <w:rFonts w:hint="eastAsia" w:ascii="宋体" w:hAnsi="宋体" w:eastAsia="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rPr>
        <w:t xml:space="preserve">.3.4</w:t>
      </w:r>
      <w:r>
        <w:rPr>
          <w:rFonts w:hint="eastAsia" w:ascii="宋体" w:hAnsi="宋体" w:eastAsia="宋体" w:cs="宋体"/>
          <w:color w:val="auto"/>
          <w:sz w:val="24"/>
          <w:szCs w:val="24"/>
          <w:highlight w:val="none"/>
          <w:lang w:val="en-US" w:eastAsia="zh-CN"/>
        </w:rPr>
        <w:t xml:space="preserve"> </w:t>
      </w:r>
      <w:r>
        <w:rPr>
          <w:rFonts w:hint="eastAsia" w:ascii="宋体" w:hAnsi="宋体" w:eastAsia="宋体" w:cs="宋体"/>
          <w:color w:val="auto"/>
          <w:sz w:val="24"/>
          <w:szCs w:val="24"/>
          <w:highlight w:val="none"/>
        </w:rPr>
        <w:t xml:space="preserve">以联合体形式参加政府采购活动，联合体各方均为中小企业的，联合体视同中小企业。其中，联合体各方均为小微企业的，联合体视同小微企业。</w:t>
      </w:r>
      <w:r/>
    </w:p>
    <w:p>
      <w:pPr>
        <w:pStyle w:val="856"/>
        <w:ind w:firstLine="480"/>
        <w:jc w:val="both"/>
        <w:pageBreakBefore w:val="0"/>
        <w:spacing w:beforeAutospacing="0" w:afterAutospacing="0" w:line="46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w:t>
      </w:r>
      <w:r>
        <w:rPr>
          <w:rFonts w:hint="eastAsia" w:ascii="宋体" w:hAnsi="宋体" w:eastAsia="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rPr>
        <w:t xml:space="preserve">.3.5</w:t>
      </w:r>
      <w:r>
        <w:rPr>
          <w:rFonts w:hint="eastAsia" w:ascii="宋体" w:hAnsi="宋体" w:eastAsia="宋体" w:cs="宋体"/>
          <w:color w:val="auto"/>
          <w:sz w:val="24"/>
          <w:szCs w:val="24"/>
          <w:highlight w:val="none"/>
          <w:lang w:val="en-US" w:eastAsia="zh-CN"/>
        </w:rPr>
        <w:t xml:space="preserve"> </w:t>
      </w:r>
      <w:r>
        <w:rPr>
          <w:rFonts w:hint="eastAsia" w:ascii="宋体" w:hAnsi="宋体" w:eastAsia="宋体" w:cs="宋体"/>
          <w:color w:val="auto"/>
          <w:sz w:val="24"/>
          <w:szCs w:val="24"/>
          <w:highlight w:val="none"/>
        </w:rPr>
        <w:t xml:space="preserve">监狱企业定义：是指由司法部认定的为罪犯、戒毒人员提供生产项目和劳动对象，且全部产权属于司法部监狱管理局、戒毒管理局、直属煤矿管理局，各省、自治区、直辖市监狱管理局、戒毒管理局，各地（设区的市）监狱、强制隔离戒毒所、戒毒康复所，以及新疆生产建设兵团监狱管理局、戒毒管理局的企业。</w:t>
      </w:r>
      <w:r/>
    </w:p>
    <w:p>
      <w:pPr>
        <w:pStyle w:val="856"/>
        <w:ind w:firstLine="480"/>
        <w:jc w:val="both"/>
        <w:pageBreakBefore w:val="0"/>
        <w:spacing w:beforeAutospacing="0" w:afterAutospacing="0" w:line="46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w:t>
      </w:r>
      <w:r>
        <w:rPr>
          <w:rFonts w:hint="eastAsia" w:ascii="宋体" w:hAnsi="宋体" w:eastAsia="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rPr>
        <w:t xml:space="preserve">.3.6</w:t>
      </w:r>
      <w:r>
        <w:rPr>
          <w:rFonts w:hint="eastAsia" w:ascii="宋体" w:hAnsi="宋体" w:eastAsia="宋体" w:cs="宋体"/>
          <w:color w:val="auto"/>
          <w:sz w:val="24"/>
          <w:szCs w:val="24"/>
          <w:highlight w:val="none"/>
          <w:lang w:val="en-US" w:eastAsia="zh-CN"/>
        </w:rPr>
        <w:t xml:space="preserve"> </w:t>
      </w:r>
      <w:r>
        <w:rPr>
          <w:rFonts w:hint="eastAsia" w:ascii="宋体" w:hAnsi="宋体" w:eastAsia="宋体" w:cs="宋体"/>
          <w:color w:val="auto"/>
          <w:sz w:val="24"/>
          <w:szCs w:val="24"/>
          <w:highlight w:val="none"/>
        </w:rPr>
        <w:t xml:space="preserve">残疾人福利单位定义：享受政府采购支持政策的残疾人福利性单位应当同时满足以下条件：</w:t>
      </w:r>
      <w:r/>
    </w:p>
    <w:p>
      <w:pPr>
        <w:pStyle w:val="856"/>
        <w:ind w:firstLine="480"/>
        <w:jc w:val="both"/>
        <w:pageBreakBefore w:val="0"/>
        <w:spacing w:beforeAutospacing="0" w:afterAutospacing="0" w:line="46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w:t>
      </w:r>
      <w:r>
        <w:rPr>
          <w:rFonts w:hint="eastAsia" w:ascii="宋体" w:hAnsi="宋体" w:eastAsia="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rPr>
        <w:t xml:space="preserve">.3.6.1</w:t>
      </w:r>
      <w:r>
        <w:rPr>
          <w:rFonts w:hint="eastAsia" w:ascii="宋体" w:hAnsi="宋体" w:eastAsia="宋体" w:cs="宋体"/>
          <w:color w:val="auto"/>
          <w:sz w:val="24"/>
          <w:szCs w:val="24"/>
          <w:highlight w:val="none"/>
          <w:lang w:val="en-US" w:eastAsia="zh-CN"/>
        </w:rPr>
        <w:t xml:space="preserve"> </w:t>
      </w:r>
      <w:r>
        <w:rPr>
          <w:rFonts w:hint="eastAsia" w:ascii="宋体" w:hAnsi="宋体" w:eastAsia="宋体" w:cs="宋体"/>
          <w:color w:val="auto"/>
          <w:sz w:val="24"/>
          <w:szCs w:val="24"/>
          <w:highlight w:val="none"/>
        </w:rPr>
        <w:t xml:space="preserve">安置的残疾人占本单位在职职工人数的比例不低于25%（含25%），并且安置的残疾人人数不少于10 人（含10 人）；</w:t>
      </w:r>
      <w:r/>
    </w:p>
    <w:p>
      <w:pPr>
        <w:pStyle w:val="856"/>
        <w:ind w:firstLine="480"/>
        <w:jc w:val="both"/>
        <w:pageBreakBefore w:val="0"/>
        <w:spacing w:beforeAutospacing="0" w:afterAutospacing="0" w:line="46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w:t>
      </w:r>
      <w:r>
        <w:rPr>
          <w:rFonts w:hint="eastAsia" w:ascii="宋体" w:hAnsi="宋体" w:eastAsia="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rPr>
        <w:t xml:space="preserve">.3.6.2</w:t>
      </w:r>
      <w:r>
        <w:rPr>
          <w:rFonts w:hint="eastAsia" w:ascii="宋体" w:hAnsi="宋体" w:eastAsia="宋体" w:cs="宋体"/>
          <w:color w:val="auto"/>
          <w:sz w:val="24"/>
          <w:szCs w:val="24"/>
          <w:highlight w:val="none"/>
          <w:lang w:val="en-US" w:eastAsia="zh-CN"/>
        </w:rPr>
        <w:t xml:space="preserve"> </w:t>
      </w:r>
      <w:r>
        <w:rPr>
          <w:rFonts w:hint="eastAsia" w:ascii="宋体" w:hAnsi="宋体" w:eastAsia="宋体" w:cs="宋体"/>
          <w:color w:val="auto"/>
          <w:sz w:val="24"/>
          <w:szCs w:val="24"/>
          <w:highlight w:val="none"/>
        </w:rPr>
        <w:t xml:space="preserve">依法与安置的每位残疾人签订了一年以上（含一年）的劳动合同或服务协议；</w:t>
      </w:r>
      <w:r/>
    </w:p>
    <w:p>
      <w:pPr>
        <w:pStyle w:val="856"/>
        <w:ind w:firstLine="480"/>
        <w:jc w:val="both"/>
        <w:pageBreakBefore w:val="0"/>
        <w:spacing w:beforeAutospacing="0" w:afterAutospacing="0" w:line="46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w:t>
      </w:r>
      <w:r>
        <w:rPr>
          <w:rFonts w:hint="eastAsia" w:ascii="宋体" w:hAnsi="宋体" w:eastAsia="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rPr>
        <w:t xml:space="preserve">.3.6.3</w:t>
      </w:r>
      <w:r>
        <w:rPr>
          <w:rFonts w:hint="eastAsia" w:ascii="宋体" w:hAnsi="宋体" w:eastAsia="宋体" w:cs="宋体"/>
          <w:color w:val="auto"/>
          <w:sz w:val="24"/>
          <w:szCs w:val="24"/>
          <w:highlight w:val="none"/>
          <w:lang w:val="en-US" w:eastAsia="zh-CN"/>
        </w:rPr>
        <w:t xml:space="preserve"> </w:t>
      </w:r>
      <w:r>
        <w:rPr>
          <w:rFonts w:hint="eastAsia" w:ascii="宋体" w:hAnsi="宋体" w:eastAsia="宋体" w:cs="宋体"/>
          <w:color w:val="auto"/>
          <w:sz w:val="24"/>
          <w:szCs w:val="24"/>
          <w:highlight w:val="none"/>
        </w:rPr>
        <w:t xml:space="preserve">为安置的每位残疾人按月足额缴纳了基本养老保险、基本医疗保险、失业保险、工伤保险和生育保险等社会保险费；</w:t>
      </w:r>
      <w:r/>
    </w:p>
    <w:p>
      <w:pPr>
        <w:pStyle w:val="856"/>
        <w:ind w:firstLine="480"/>
        <w:jc w:val="both"/>
        <w:pageBreakBefore w:val="0"/>
        <w:spacing w:beforeAutospacing="0" w:afterAutospacing="0" w:line="46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w:t>
      </w:r>
      <w:r>
        <w:rPr>
          <w:rFonts w:hint="eastAsia" w:ascii="宋体" w:hAnsi="宋体" w:eastAsia="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rPr>
        <w:t xml:space="preserve">.3.6.4</w:t>
      </w:r>
      <w:r>
        <w:rPr>
          <w:rFonts w:hint="eastAsia" w:ascii="宋体" w:hAnsi="宋体" w:eastAsia="宋体" w:cs="宋体"/>
          <w:color w:val="auto"/>
          <w:sz w:val="24"/>
          <w:szCs w:val="24"/>
          <w:highlight w:val="none"/>
          <w:lang w:val="en-US" w:eastAsia="zh-CN"/>
        </w:rPr>
        <w:t xml:space="preserve"> </w:t>
      </w:r>
      <w:r>
        <w:rPr>
          <w:rFonts w:hint="eastAsia" w:ascii="宋体" w:hAnsi="宋体" w:eastAsia="宋体" w:cs="宋体"/>
          <w:color w:val="auto"/>
          <w:sz w:val="24"/>
          <w:szCs w:val="24"/>
          <w:highlight w:val="none"/>
        </w:rPr>
        <w:t xml:space="preserve">通过银行等金融机构向安置的每位残疾人，按月支付了不低于单位所在区县适用的经省级人民政府批准的月最低工资标准的工资；</w:t>
      </w:r>
      <w:r/>
    </w:p>
    <w:p>
      <w:pPr>
        <w:pStyle w:val="856"/>
        <w:ind w:firstLine="480"/>
        <w:jc w:val="both"/>
        <w:pageBreakBefore w:val="0"/>
        <w:spacing w:beforeAutospacing="0" w:afterAutospacing="0" w:line="46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w:t>
      </w:r>
      <w:r>
        <w:rPr>
          <w:rFonts w:hint="eastAsia" w:ascii="宋体" w:hAnsi="宋体" w:eastAsia="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rPr>
        <w:t xml:space="preserve">.3.6.5</w:t>
      </w:r>
      <w:r>
        <w:rPr>
          <w:rFonts w:hint="eastAsia" w:ascii="宋体" w:hAnsi="宋体" w:eastAsia="宋体" w:cs="宋体"/>
          <w:color w:val="auto"/>
          <w:sz w:val="24"/>
          <w:szCs w:val="24"/>
          <w:highlight w:val="none"/>
          <w:lang w:val="en-US" w:eastAsia="zh-CN"/>
        </w:rPr>
        <w:t xml:space="preserve"> </w:t>
      </w:r>
      <w:r>
        <w:rPr>
          <w:rFonts w:hint="eastAsia" w:ascii="宋体" w:hAnsi="宋体" w:eastAsia="宋体" w:cs="宋体"/>
          <w:color w:val="auto"/>
          <w:sz w:val="24"/>
          <w:szCs w:val="24"/>
          <w:highlight w:val="none"/>
        </w:rPr>
        <w:t xml:space="preserve">提供本单位制造的货物、承担的工程或者服务（以下简称产品），或者提供其他残疾人福利性单位制造的货物（不包括使用非残疾人福利性单位注册商标的货物）；</w:t>
      </w:r>
      <w:r/>
    </w:p>
    <w:p>
      <w:pPr>
        <w:pStyle w:val="856"/>
        <w:ind w:firstLine="480"/>
        <w:jc w:val="both"/>
        <w:pageBreakBefore w:val="0"/>
        <w:spacing w:beforeAutospacing="0" w:afterAutospacing="0" w:line="46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w:t>
      </w:r>
      <w:r>
        <w:rPr>
          <w:rFonts w:hint="eastAsia" w:ascii="宋体" w:hAnsi="宋体" w:eastAsia="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rPr>
        <w:t xml:space="preserve">.3.6.6</w:t>
      </w:r>
      <w:r>
        <w:rPr>
          <w:rFonts w:hint="eastAsia" w:ascii="宋体" w:hAnsi="宋体" w:eastAsia="宋体" w:cs="宋体"/>
          <w:color w:val="auto"/>
          <w:sz w:val="24"/>
          <w:szCs w:val="24"/>
          <w:highlight w:val="none"/>
          <w:lang w:val="en-US" w:eastAsia="zh-CN"/>
        </w:rPr>
        <w:t xml:space="preserve"> </w:t>
      </w:r>
      <w:r>
        <w:rPr>
          <w:rFonts w:hint="eastAsia" w:ascii="宋体" w:hAnsi="宋体" w:eastAsia="宋体" w:cs="宋体"/>
          <w:color w:val="auto"/>
          <w:sz w:val="24"/>
          <w:szCs w:val="24"/>
          <w:highlight w:val="none"/>
        </w:rPr>
        <w:t xml:space="preserve">前款所称残疾人是指法定劳动年龄内，持有《中华人民共和国残疾人证》或者《中华人民共和国残疾军人证（1 至8 级）》的自然人，包括具有劳动条件和劳动意愿的精神残疾人。在职职工人数是指与残疾人福利性单位建立劳动关系并依法签订劳动合同或服务协议的雇员人数。</w:t>
      </w:r>
      <w:r/>
    </w:p>
    <w:p>
      <w:pPr>
        <w:pStyle w:val="856"/>
        <w:ind w:firstLine="480"/>
        <w:jc w:val="both"/>
        <w:pageBreakBefore w:val="0"/>
        <w:spacing w:beforeAutospacing="0" w:afterAutospacing="0" w:line="46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w:t>
      </w:r>
      <w:r>
        <w:rPr>
          <w:rFonts w:hint="eastAsia" w:ascii="宋体" w:hAnsi="宋体" w:eastAsia="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rPr>
        <w:t xml:space="preserve">.3.7</w:t>
      </w:r>
      <w:r>
        <w:rPr>
          <w:rFonts w:hint="eastAsia" w:ascii="宋体" w:hAnsi="宋体" w:eastAsia="宋体" w:cs="宋体"/>
          <w:color w:val="auto"/>
          <w:sz w:val="24"/>
          <w:szCs w:val="24"/>
          <w:highlight w:val="none"/>
          <w:lang w:val="en-US" w:eastAsia="zh-CN"/>
        </w:rPr>
        <w:t xml:space="preserve"> </w:t>
      </w:r>
      <w:r>
        <w:rPr>
          <w:rFonts w:hint="eastAsia" w:ascii="宋体" w:hAnsi="宋体" w:eastAsia="宋体" w:cs="宋体"/>
          <w:color w:val="auto"/>
          <w:sz w:val="24"/>
          <w:szCs w:val="24"/>
          <w:highlight w:val="none"/>
        </w:rPr>
        <w:t xml:space="preserve">本项目是否专门面向中小企业预留采购份额见第一章《</w:t>
      </w:r>
      <w:r>
        <w:rPr>
          <w:rFonts w:hint="eastAsia" w:ascii="宋体" w:hAnsi="宋体" w:eastAsia="宋体" w:cs="宋体"/>
          <w:color w:val="auto"/>
          <w:sz w:val="24"/>
          <w:szCs w:val="24"/>
          <w:highlight w:val="none"/>
          <w:lang w:val="en-US" w:eastAsia="zh-CN"/>
        </w:rPr>
        <w:t xml:space="preserve">招标公告</w:t>
      </w:r>
      <w:r>
        <w:rPr>
          <w:rFonts w:hint="eastAsia" w:ascii="宋体" w:hAnsi="宋体" w:eastAsia="宋体" w:cs="宋体"/>
          <w:color w:val="auto"/>
          <w:sz w:val="24"/>
          <w:szCs w:val="24"/>
          <w:highlight w:val="none"/>
        </w:rPr>
        <w:t xml:space="preserve">》。</w:t>
      </w:r>
      <w:r/>
    </w:p>
    <w:p>
      <w:pPr>
        <w:pStyle w:val="856"/>
        <w:ind w:firstLine="480"/>
        <w:jc w:val="both"/>
        <w:pageBreakBefore w:val="0"/>
        <w:spacing w:beforeAutospacing="0" w:afterAutospacing="0" w:line="46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33</w:t>
      </w:r>
      <w:r>
        <w:rPr>
          <w:rFonts w:hint="eastAsia" w:ascii="宋体" w:hAnsi="宋体" w:eastAsia="宋体" w:cs="宋体"/>
          <w:color w:val="auto"/>
          <w:sz w:val="24"/>
          <w:szCs w:val="24"/>
          <w:highlight w:val="none"/>
        </w:rPr>
        <w:t xml:space="preserve">.3.8</w:t>
      </w:r>
      <w:r>
        <w:rPr>
          <w:rFonts w:hint="eastAsia" w:ascii="宋体" w:hAnsi="宋体" w:eastAsia="宋体" w:cs="宋体"/>
          <w:color w:val="auto"/>
          <w:sz w:val="24"/>
          <w:szCs w:val="24"/>
          <w:highlight w:val="none"/>
          <w:lang w:val="en-US" w:eastAsia="zh-CN"/>
        </w:rPr>
        <w:t xml:space="preserve"> </w:t>
      </w:r>
      <w:r>
        <w:rPr>
          <w:rFonts w:hint="eastAsia" w:ascii="宋体" w:hAnsi="宋体" w:eastAsia="宋体" w:cs="宋体"/>
          <w:color w:val="auto"/>
          <w:sz w:val="24"/>
          <w:szCs w:val="24"/>
          <w:highlight w:val="none"/>
        </w:rPr>
        <w:t xml:space="preserve">采购标的对应的中小企业划分标准所属行业见第四章《采购需求》。</w:t>
      </w:r>
      <w:r/>
    </w:p>
    <w:p>
      <w:pPr>
        <w:pStyle w:val="856"/>
        <w:ind w:firstLine="480"/>
        <w:jc w:val="both"/>
        <w:pageBreakBefore w:val="0"/>
        <w:spacing w:beforeAutospacing="0" w:afterAutospacing="0" w:line="46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w:t>
      </w:r>
      <w:r>
        <w:rPr>
          <w:rFonts w:hint="eastAsia" w:ascii="宋体" w:hAnsi="宋体" w:eastAsia="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rPr>
        <w:t xml:space="preserve">.3.9</w:t>
      </w:r>
      <w:r>
        <w:rPr>
          <w:rFonts w:hint="eastAsia" w:ascii="宋体" w:hAnsi="宋体" w:eastAsia="宋体" w:cs="宋体"/>
          <w:color w:val="auto"/>
          <w:sz w:val="24"/>
          <w:szCs w:val="24"/>
          <w:highlight w:val="none"/>
          <w:lang w:val="en-US" w:eastAsia="zh-CN"/>
        </w:rPr>
        <w:t xml:space="preserve"> </w:t>
      </w:r>
      <w:r>
        <w:rPr>
          <w:rFonts w:hint="eastAsia" w:ascii="宋体" w:hAnsi="宋体" w:eastAsia="宋体" w:cs="宋体"/>
          <w:color w:val="auto"/>
          <w:sz w:val="24"/>
          <w:szCs w:val="24"/>
          <w:highlight w:val="none"/>
        </w:rPr>
        <w:t xml:space="preserve">小微企业价格评审优惠的政策：见第五章《评标方法和评标标准》。</w:t>
      </w:r>
      <w:r/>
    </w:p>
    <w:p>
      <w:pPr>
        <w:ind w:firstLine="480"/>
        <w:pageBreakBefore w:val="0"/>
        <w:spacing w:line="460" w:lineRule="exact"/>
        <w:widowControl w:val="off"/>
        <w:tabs>
          <w:tab w:val="left" w:pos="1381" w:leader="none"/>
        </w:tabs>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33.4 政府采购节能产品、环境标志产品</w:t>
      </w:r>
      <w:r/>
    </w:p>
    <w:p>
      <w:pPr>
        <w:ind w:firstLine="480"/>
        <w:pageBreakBefore w:val="0"/>
        <w:spacing w:line="460" w:lineRule="exact"/>
        <w:widowControl w:val="off"/>
        <w:rPr>
          <w:rFonts w:hint="eastAsia" w:ascii="宋体" w:hAnsi="宋体" w:eastAsia="宋体" w:cs="宋体"/>
          <w:color w:val="auto"/>
          <w:sz w:val="24"/>
          <w:szCs w:val="24"/>
          <w:highlight w:val="none"/>
        </w:rPr>
      </w:pPr>
      <w:r>
        <w:rPr>
          <w:rFonts w:hint="eastAsia" w:ascii="宋体" w:hAnsi="宋体" w:eastAsia="宋体" w:cs="宋体"/>
          <w:sz w:val="24"/>
          <w:szCs w:val="24"/>
          <w:highlight w:val="none"/>
        </w:rPr>
        <w:t xml:space="preserve">3</w:t>
      </w:r>
      <w:r>
        <w:rPr>
          <w:rFonts w:hint="eastAsia" w:ascii="宋体" w:hAnsi="宋体" w:eastAsia="宋体" w:cs="宋体"/>
          <w:sz w:val="24"/>
          <w:szCs w:val="24"/>
          <w:highlight w:val="none"/>
          <w:lang w:val="en-US" w:eastAsia="zh-CN"/>
        </w:rPr>
        <w:t xml:space="preserve">3</w:t>
      </w:r>
      <w:r>
        <w:rPr>
          <w:rFonts w:hint="eastAsia" w:ascii="宋体" w:hAnsi="宋体" w:eastAsia="宋体" w:cs="宋体"/>
          <w:sz w:val="24"/>
          <w:szCs w:val="24"/>
          <w:highlight w:val="none"/>
        </w:rPr>
        <w:t xml:space="preserve">.4.1</w:t>
      </w:r>
      <w:r>
        <w:rPr>
          <w:rFonts w:hint="eastAsia" w:ascii="宋体" w:hAnsi="宋体" w:eastAsia="宋体" w:cs="宋体"/>
          <w:sz w:val="24"/>
          <w:szCs w:val="24"/>
          <w:highlight w:val="none"/>
          <w:lang w:val="en-US" w:eastAsia="zh-CN"/>
        </w:rPr>
        <w:t xml:space="preserve"> </w:t>
      </w:r>
      <w:r>
        <w:rPr>
          <w:rFonts w:hint="eastAsia" w:ascii="宋体" w:hAnsi="宋体" w:eastAsia="宋体" w:cs="宋体"/>
          <w:color w:val="auto"/>
          <w:sz w:val="24"/>
          <w:szCs w:val="24"/>
          <w:highlight w:val="none"/>
        </w:rPr>
        <w:t xml:space="preserve">严格执行政府采购关于支持节能产品、环境标志产品的相关政策规定。如本次采购的产品属于财政部、国家发展改革委、生态环境部、市场监管总局等部门发布的节能产品、环境标志产品品目清单政府强制采购范围的，供应商必须在响应文件中提供所投产品的相关证书(由国家确定的认证机构出具的、处于有效期之内的节能产品、环境标志产品认证证书)。节能产品、环境标志产品品目清单以递交响应文件截止时已正式公布的最近一期信息为准，</w:t>
      </w:r>
      <w:r>
        <w:rPr>
          <w:rFonts w:hint="eastAsia" w:ascii="宋体" w:hAnsi="宋体" w:eastAsia="宋体" w:cs="宋体"/>
          <w:b/>
          <w:i/>
          <w:color w:val="auto"/>
          <w:sz w:val="24"/>
          <w:szCs w:val="24"/>
          <w:highlight w:val="none"/>
        </w:rPr>
        <w:t xml:space="preserve">如属政府强制采购产品未提供认证证书的或认证证书提供不全的将视为未实质性响应采购要求</w:t>
      </w:r>
      <w:r>
        <w:rPr>
          <w:rFonts w:hint="eastAsia" w:ascii="宋体" w:hAnsi="宋体" w:eastAsia="宋体" w:cs="宋体"/>
          <w:i/>
          <w:color w:val="auto"/>
          <w:sz w:val="24"/>
          <w:szCs w:val="24"/>
          <w:highlight w:val="none"/>
        </w:rPr>
        <w:t xml:space="preserve">。</w:t>
      </w:r>
      <w:r>
        <w:rPr>
          <w:rFonts w:hint="eastAsia" w:ascii="宋体" w:hAnsi="宋体" w:eastAsia="宋体" w:cs="宋体"/>
          <w:color w:val="auto"/>
          <w:sz w:val="24"/>
          <w:szCs w:val="24"/>
          <w:highlight w:val="none"/>
        </w:rPr>
        <w:t xml:space="preserve">其他条件相同情况下，应当优先采购节能产品、环境标志产品。</w:t>
      </w:r>
      <w:r/>
    </w:p>
    <w:p>
      <w:pPr>
        <w:ind w:firstLine="480"/>
        <w:pageBreakBefore w:val="0"/>
        <w:spacing w:line="460" w:lineRule="exact"/>
        <w:widowControl w:val="off"/>
        <w:rPr>
          <w:rFonts w:hint="eastAsia" w:ascii="宋体" w:hAnsi="宋体" w:eastAsia="宋体" w:cs="宋体"/>
          <w:color w:val="auto"/>
          <w:sz w:val="24"/>
          <w:szCs w:val="24"/>
          <w:highlight w:val="none"/>
        </w:rPr>
      </w:pPr>
      <w:r>
        <w:rPr>
          <w:rFonts w:hint="eastAsia" w:ascii="宋体" w:hAnsi="宋体" w:eastAsia="宋体" w:cs="宋体"/>
          <w:sz w:val="24"/>
          <w:szCs w:val="24"/>
          <w:highlight w:val="none"/>
        </w:rPr>
        <w:t xml:space="preserve">3</w:t>
      </w:r>
      <w:r>
        <w:rPr>
          <w:rFonts w:hint="eastAsia" w:ascii="宋体" w:hAnsi="宋体" w:eastAsia="宋体" w:cs="宋体"/>
          <w:sz w:val="24"/>
          <w:szCs w:val="24"/>
          <w:highlight w:val="none"/>
          <w:lang w:val="en-US" w:eastAsia="zh-CN"/>
        </w:rPr>
        <w:t xml:space="preserve">3</w:t>
      </w:r>
      <w:r>
        <w:rPr>
          <w:rFonts w:hint="eastAsia" w:ascii="宋体" w:hAnsi="宋体" w:eastAsia="宋体" w:cs="宋体"/>
          <w:sz w:val="24"/>
          <w:szCs w:val="24"/>
          <w:highlight w:val="none"/>
        </w:rPr>
        <w:t xml:space="preserve">.4.2</w:t>
      </w:r>
      <w:r>
        <w:rPr>
          <w:rFonts w:hint="eastAsia" w:ascii="宋体" w:hAnsi="宋体" w:eastAsia="宋体" w:cs="宋体"/>
          <w:sz w:val="24"/>
          <w:szCs w:val="24"/>
          <w:highlight w:val="none"/>
          <w:lang w:val="en-US" w:eastAsia="zh-CN"/>
        </w:rPr>
        <w:t xml:space="preserve"> </w:t>
      </w:r>
      <w:r>
        <w:rPr>
          <w:rFonts w:hint="eastAsia" w:ascii="宋体" w:hAnsi="宋体" w:eastAsia="宋体" w:cs="宋体"/>
          <w:color w:val="auto"/>
          <w:sz w:val="24"/>
          <w:szCs w:val="24"/>
          <w:highlight w:val="none"/>
        </w:rPr>
        <w:t xml:space="preserve">节能、环保产品的品目清单按照《关于印发环境标志产品政府采购品目清单的通知》（财库〔2019〕18号）、《关于印发节能产品政府采购品目清单的通知》（财库〔2019〕19号）执行。国家对品目清单进行调整的，按照最新调整的品目清单执行。</w:t>
      </w:r>
      <w:r/>
    </w:p>
    <w:p>
      <w:pPr>
        <w:ind w:firstLine="480"/>
        <w:pageBreakBefore w:val="0"/>
        <w:spacing w:line="460" w:lineRule="exact"/>
        <w:widowControl w:val="off"/>
        <w:tabs>
          <w:tab w:val="left" w:pos="1381" w:leader="none"/>
        </w:tabs>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33.5 绿色包装</w:t>
      </w:r>
      <w:r/>
    </w:p>
    <w:p>
      <w:pPr>
        <w:ind w:firstLine="480"/>
        <w:pageBreakBefore w:val="0"/>
        <w:spacing w:line="460" w:lineRule="exact"/>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本项目中涉及商品的包装应按照“财办库〔2020〕123号《关于印发《商品包装政府采购需求标准（试行）》、《快递包装政府采购需求标准（试行）》的通知》”执行,在供货、安装过程中能做到低碳物流、环保节约、提高资源利用率。</w:t>
      </w:r>
      <w:r/>
    </w:p>
    <w:p>
      <w:pPr>
        <w:ind w:firstLine="480"/>
        <w:pageBreakBefore w:val="0"/>
        <w:spacing w:line="460" w:lineRule="exact"/>
        <w:widowControl w:val="off"/>
        <w:tabs>
          <w:tab w:val="left" w:pos="1381" w:leader="none"/>
        </w:tabs>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33.6 政府采购创新产品</w:t>
      </w:r>
      <w:r/>
    </w:p>
    <w:p>
      <w:pPr>
        <w:ind w:left="0" w:right="0" w:firstLine="480"/>
        <w:jc w:val="both"/>
        <w:pageBreakBefore w:val="0"/>
        <w:spacing w:line="460" w:lineRule="exact"/>
        <w:widowControl w:val="off"/>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val="en-US" w:eastAsia="zh-CN" w:bidi="ar-SA"/>
        </w:rPr>
        <w:t xml:space="preserve">采购人优先采购各级政府部门公开发布的有效期内的创新产品、创新服务、首台套、首购首用等《目录》的创新产品</w:t>
      </w:r>
      <w:r>
        <w:rPr>
          <w:rFonts w:hint="eastAsia" w:ascii="宋体" w:hAnsi="宋体" w:eastAsia="宋体" w:cs="宋体"/>
          <w:color w:val="000000"/>
          <w:sz w:val="24"/>
          <w:szCs w:val="24"/>
          <w:highlight w:val="none"/>
        </w:rPr>
        <w:t xml:space="preserve">。</w:t>
      </w:r>
      <w:r/>
    </w:p>
    <w:p>
      <w:pPr>
        <w:ind w:firstLine="480"/>
        <w:pageBreakBefore w:val="0"/>
        <w:spacing w:line="460" w:lineRule="exact"/>
        <w:widowControl w:val="off"/>
        <w:tabs>
          <w:tab w:val="left" w:pos="1381" w:leader="none"/>
        </w:tabs>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33.7 绿色数据中心政策 </w:t>
      </w:r>
      <w:r/>
    </w:p>
    <w:p>
      <w:pPr>
        <w:ind w:firstLine="480"/>
        <w:pageBreakBefore w:val="0"/>
        <w:spacing w:line="460" w:lineRule="exact"/>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本文件中若涉及到数据中心采购，采购人应依据《绿色数据中心政府采购需求标准（试行）》（财办库〔2023〕7号）文件精神</w:t>
      </w:r>
      <w:r>
        <w:rPr>
          <w:rFonts w:hint="eastAsia" w:ascii="宋体" w:hAnsi="宋体" w:eastAsia="宋体" w:cs="宋体"/>
          <w:color w:val="auto"/>
          <w:sz w:val="24"/>
          <w:szCs w:val="24"/>
          <w:highlight w:val="none"/>
          <w:lang w:val="en-US" w:eastAsia="zh-CN" w:bidi="ar-SA"/>
        </w:rPr>
        <w:t xml:space="preserve">，在采购数据中心相关设备、运维服务，应当有利于节约能源、环境保护和资源循环利用，按照《需求标准》实施相关采购活动。采购人应当加强采购需求管理，根据《需求标准》提出的指标编制数据中心相关设备、运维服务政府采购项目的采购文件，并在合同中明确对相关指标的验收方式和违约责任。采购人应当在履约验收中对供应商提供的产品或服务进行抽查检测，必要时可委托取得相关资质的第三方机构对其进行检测、认证。因检测、认证涉及生产过程或检测时间长等原因，不能在验收过程中开展检测、认证的，可要求供应商在验收阶段提供相关检测报告、认证报告。</w:t>
      </w:r>
      <w:r/>
    </w:p>
    <w:p>
      <w:pPr>
        <w:ind w:firstLine="480"/>
        <w:pageBreakBefore w:val="0"/>
        <w:spacing w:line="460" w:lineRule="exact"/>
        <w:widowControl w:val="off"/>
        <w:tabs>
          <w:tab w:val="left" w:pos="1381" w:leader="none"/>
        </w:tabs>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33.8 履约保证金政策</w:t>
      </w:r>
      <w:r/>
    </w:p>
    <w:p>
      <w:pPr>
        <w:pStyle w:val="860"/>
        <w:ind w:left="0" w:firstLine="480"/>
        <w:pageBreakBefore w:val="0"/>
        <w:spacing w:after="0" w:line="460" w:lineRule="exact"/>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确需收取履约保证金的，履约保证金的缴纳形式：</w:t>
      </w:r>
      <w:r/>
    </w:p>
    <w:p>
      <w:pPr>
        <w:ind w:firstLine="480"/>
        <w:pageBreakBefore w:val="0"/>
        <w:spacing w:line="460" w:lineRule="exact"/>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供应商应当以支票、汇票、本票或者金融机构、担保机构出具的保函等非现金形式提交履约保证金。依据《关于在全省政府采购领域推行电子履约保函（保险）的通知》，鼓励供应商自愿使用电子履约保函（保险）代替缴纳履约保证金。</w:t>
      </w:r>
      <w:r/>
    </w:p>
    <w:p>
      <w:pPr>
        <w:ind w:firstLine="480"/>
        <w:pageBreakBefore w:val="0"/>
        <w:spacing w:line="460" w:lineRule="exact"/>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如以履约保函（保险）形式缴纳履约保证金，供应商可通过政府采购电子履约保函（保险）平台（www.jsdzbh.com）在线申请履约保函（保险）。</w:t>
      </w:r>
      <w:r/>
    </w:p>
    <w:p>
      <w:pPr>
        <w:ind w:firstLine="480"/>
        <w:pageBreakBefore w:val="0"/>
        <w:spacing w:line="460" w:lineRule="exact"/>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履约保证金金额不得超过合同金额的10%，采购人对第三方信用服务机构依据标准规范评定为 AA 级及以上的政府采购供应商（需在签订采购合同前提供信用管理 部门备案的第三方信用报告，且信用报告通过“信用盐城网”可查实），免收履约保证金或降低履约保证金缴纳比例。</w:t>
      </w:r>
      <w:r/>
    </w:p>
    <w:p>
      <w:pPr>
        <w:ind w:firstLine="480"/>
        <w:pageBreakBefore w:val="0"/>
        <w:spacing w:line="460" w:lineRule="exact"/>
        <w:widowControl w:val="off"/>
        <w:tabs>
          <w:tab w:val="left" w:pos="1381" w:leader="none"/>
        </w:tabs>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34、预付款制度</w:t>
      </w:r>
      <w:r/>
    </w:p>
    <w:p>
      <w:pPr>
        <w:ind w:firstLine="480"/>
        <w:pageBreakBefore w:val="0"/>
        <w:spacing w:line="460" w:lineRule="exact"/>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本项目落实预付款制度，预付款比例为</w:t>
      </w:r>
      <w:r>
        <w:rPr>
          <w:rFonts w:hint="eastAsia" w:ascii="宋体" w:hAnsi="宋体" w:eastAsia="宋体" w:cs="宋体"/>
          <w:color w:val="auto"/>
          <w:sz w:val="24"/>
          <w:szCs w:val="24"/>
          <w:highlight w:val="none"/>
          <w:u w:val="single"/>
          <w:lang w:val="en-US" w:eastAsia="zh-CN" w:bidi="ar-SA"/>
        </w:rPr>
        <w:t xml:space="preserve"> 30 </w:t>
      </w:r>
      <w:r>
        <w:rPr>
          <w:rFonts w:hint="eastAsia" w:ascii="宋体" w:hAnsi="宋体" w:eastAsia="宋体" w:cs="宋体"/>
          <w:color w:val="auto"/>
          <w:sz w:val="24"/>
          <w:szCs w:val="24"/>
          <w:highlight w:val="none"/>
          <w:lang w:val="en-US" w:eastAsia="zh-CN" w:bidi="ar-SA"/>
        </w:rPr>
        <w:t xml:space="preserve">%。在签订合同时，中标、成交供应商明确书面表示无需预付款或者主动要求降低预付款比例的，采购人可就预付款比例作相应调整。</w:t>
      </w:r>
      <w:r>
        <w:rPr>
          <w:rFonts w:hint="eastAsia" w:ascii="宋体" w:hAnsi="宋体" w:eastAsia="宋体" w:cs="宋体"/>
          <w:color w:val="auto"/>
          <w:sz w:val="24"/>
          <w:szCs w:val="24"/>
          <w:highlight w:val="none"/>
          <w:lang w:val="en-US" w:eastAsia="zh-CN" w:bidi="ar-SA"/>
        </w:rPr>
      </w:r>
      <w:r/>
    </w:p>
    <w:p>
      <w:pPr>
        <w:ind w:firstLine="480"/>
        <w:pageBreakBefore w:val="0"/>
        <w:spacing w:line="460" w:lineRule="exact"/>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r>
      <w:r/>
    </w:p>
    <w:p>
      <w:pPr>
        <w:pStyle w:val="856"/>
        <w:jc w:val="center"/>
        <w:spacing w:beforeAutospacing="0" w:afterAutospacing="0"/>
        <w:rPr>
          <w:rFonts w:hint="eastAsia" w:ascii="宋体" w:hAnsi="宋体" w:eastAsia="宋体" w:cs="宋体"/>
          <w:sz w:val="24"/>
          <w:szCs w:val="24"/>
          <w:highlight w:val="none"/>
        </w:rPr>
      </w:pPr>
      <w:r/>
      <w:bookmarkStart w:id="160" w:name="_Toc479757211"/>
      <w:r/>
      <w:bookmarkStart w:id="161" w:name="_Toc462564139"/>
      <w:r/>
      <w:bookmarkStart w:id="162" w:name="_Toc20823346"/>
      <w:r/>
      <w:bookmarkStart w:id="163" w:name="_Toc16938590"/>
      <w:r/>
      <w:bookmarkStart w:id="164" w:name="_Hlt16619350"/>
      <w:r/>
      <w:bookmarkStart w:id="165" w:name="_Toc120614244"/>
      <w:r/>
      <w:bookmarkStart w:id="166" w:name="_Hlt16619369"/>
      <w:r>
        <w:rPr>
          <w:rFonts w:hint="eastAsia" w:ascii="黑体" w:hAnsi="宋体" w:eastAsia="黑体" w:cs="黑体"/>
          <w:color w:val="000000"/>
          <w:sz w:val="44"/>
          <w:szCs w:val="44"/>
          <w:highlight w:val="none"/>
        </w:rPr>
        <w:t xml:space="preserve">第三章  合同文本</w:t>
      </w:r>
      <w:r/>
    </w:p>
    <w:p>
      <w:pPr>
        <w:pStyle w:val="856"/>
        <w:ind w:firstLine="482"/>
        <w:jc w:val="both"/>
        <w:keepLines w:val="0"/>
        <w:keepNext w:val="0"/>
        <w:pageBreakBefore w:val="0"/>
        <w:spacing w:beforeAutospacing="0" w:afterAutospacing="0" w:line="480" w:lineRule="auto"/>
        <w:widowControl/>
      </w:pPr>
      <w:r/>
      <w:bookmarkStart w:id="167" w:name="_Toc513029243"/>
      <w:r/>
      <w:bookmarkStart w:id="168" w:name="_Toc20823315"/>
      <w:r/>
      <w:bookmarkStart w:id="169" w:name="_Toc16938559"/>
      <w:r>
        <w:rPr>
          <w:rFonts w:hint="eastAsia" w:ascii="宋体" w:hAnsi="宋体" w:eastAsia="宋体" w:cs="宋体"/>
          <w:color w:val="000000"/>
        </w:rPr>
        <w:t xml:space="preserve">以下为中标后签定本项目合同的通用条款，中标人不得提出实质性的修改。</w:t>
      </w:r>
      <w:bookmarkEnd w:id="167"/>
      <w:r/>
      <w:bookmarkEnd w:id="168"/>
      <w:r/>
      <w:bookmarkEnd w:id="169"/>
      <w:r/>
      <w:r/>
    </w:p>
    <w:p>
      <w:pPr>
        <w:pStyle w:val="856"/>
        <w:jc w:val="center"/>
        <w:spacing w:before="145" w:beforeAutospacing="0" w:after="145" w:afterAutospacing="0"/>
      </w:pPr>
      <w:r>
        <w:rPr>
          <w:rFonts w:hint="eastAsia" w:ascii="宋体" w:hAnsi="宋体" w:eastAsia="宋体" w:cs="宋体"/>
          <w:b/>
          <w:color w:val="000000"/>
          <w:sz w:val="30"/>
          <w:szCs w:val="30"/>
        </w:rPr>
        <w:t xml:space="preserve">盐城市政府采购合同（货物）</w:t>
      </w:r>
      <w:r/>
    </w:p>
    <w:p>
      <w:pPr>
        <w:pStyle w:val="856"/>
        <w:ind w:left="0" w:right="0" w:firstLine="0"/>
        <w:jc w:val="both"/>
        <w:keepLines w:val="0"/>
        <w:keepNext w:val="0"/>
        <w:pageBreakBefore w:val="0"/>
        <w:spacing w:beforeAutospacing="0" w:afterAutospacing="0" w:line="480" w:lineRule="exact"/>
        <w:widowControl w:val="off"/>
        <w:rPr>
          <w:rFonts w:ascii="宋体" w:hAnsi="宋体" w:eastAsia="宋体" w:cs="宋体"/>
          <w:color w:val="000000"/>
        </w:rPr>
      </w:pPr>
      <w:r>
        <w:rPr>
          <w:rFonts w:hint="eastAsia" w:ascii="宋体" w:hAnsi="宋体" w:eastAsia="宋体" w:cs="宋体"/>
          <w:color w:val="000000"/>
        </w:rPr>
        <w:t xml:space="preserve">项目名称：                        </w:t>
      </w:r>
      <w:r/>
    </w:p>
    <w:p>
      <w:pPr>
        <w:pStyle w:val="856"/>
        <w:ind w:left="0" w:right="0" w:firstLine="0"/>
        <w:jc w:val="both"/>
        <w:keepLines w:val="0"/>
        <w:keepNext w:val="0"/>
        <w:pageBreakBefore w:val="0"/>
        <w:spacing w:beforeAutospacing="0" w:afterAutospacing="0" w:line="480" w:lineRule="exact"/>
        <w:widowControl w:val="off"/>
        <w:rPr>
          <w:rFonts w:ascii="宋体" w:hAnsi="宋体" w:eastAsia="宋体" w:cs="宋体"/>
          <w:color w:val="000000"/>
        </w:rPr>
      </w:pPr>
      <w:r>
        <w:rPr>
          <w:rFonts w:hint="eastAsia" w:ascii="宋体" w:hAnsi="宋体" w:eastAsia="宋体" w:cs="宋体"/>
          <w:color w:val="000000"/>
        </w:rPr>
        <w:t xml:space="preserve">项目编号：</w:t>
      </w:r>
      <w:r/>
    </w:p>
    <w:p>
      <w:pPr>
        <w:pStyle w:val="856"/>
        <w:ind w:left="0" w:right="0" w:firstLine="0"/>
        <w:jc w:val="both"/>
        <w:keepLines w:val="0"/>
        <w:keepNext w:val="0"/>
        <w:pageBreakBefore w:val="0"/>
        <w:spacing w:beforeAutospacing="0" w:afterAutospacing="0" w:line="480" w:lineRule="exact"/>
        <w:widowControl w:val="off"/>
      </w:pPr>
      <w:r>
        <w:rPr>
          <w:rFonts w:hint="eastAsia" w:ascii="宋体" w:hAnsi="宋体" w:eastAsia="宋体" w:cs="宋体"/>
          <w:color w:val="000000"/>
        </w:rPr>
        <w:t xml:space="preserve">甲方：（买方）_________</w:t>
      </w:r>
      <w:r/>
    </w:p>
    <w:p>
      <w:pPr>
        <w:pStyle w:val="856"/>
        <w:ind w:left="0" w:right="0" w:firstLine="0"/>
        <w:jc w:val="both"/>
        <w:keepLines w:val="0"/>
        <w:keepNext w:val="0"/>
        <w:pageBreakBefore w:val="0"/>
        <w:spacing w:beforeAutospacing="0" w:afterAutospacing="0" w:line="480" w:lineRule="exact"/>
        <w:widowControl w:val="off"/>
      </w:pPr>
      <w:r>
        <w:rPr>
          <w:rFonts w:hint="eastAsia" w:ascii="宋体" w:hAnsi="宋体" w:eastAsia="宋体" w:cs="宋体"/>
          <w:color w:val="000000"/>
        </w:rPr>
        <w:t xml:space="preserve">乙方：（卖方）_________</w:t>
      </w:r>
      <w:r/>
    </w:p>
    <w:p>
      <w:pPr>
        <w:pStyle w:val="856"/>
        <w:ind w:left="0" w:right="0" w:firstLine="480"/>
        <w:jc w:val="both"/>
        <w:keepLines w:val="0"/>
        <w:keepNext w:val="0"/>
        <w:pageBreakBefore w:val="0"/>
        <w:spacing w:beforeAutospacing="0" w:afterAutospacing="0" w:line="480" w:lineRule="exact"/>
        <w:widowControl w:val="off"/>
      </w:pPr>
      <w:r>
        <w:rPr>
          <w:rFonts w:hint="eastAsia" w:ascii="宋体" w:hAnsi="宋体" w:eastAsia="宋体" w:cs="宋体"/>
          <w:color w:val="000000"/>
        </w:rPr>
        <w:t xml:space="preserve">甲、乙双方根据</w:t>
      </w:r>
      <w:r>
        <w:rPr>
          <w:rFonts w:hint="eastAsia" w:ascii="宋体" w:hAnsi="宋体" w:eastAsia="宋体" w:cs="宋体"/>
          <w:color w:val="000000"/>
          <w:u w:val="single"/>
        </w:rPr>
        <w:t xml:space="preserve">         </w:t>
      </w:r>
      <w:r>
        <w:rPr>
          <w:rFonts w:hint="eastAsia" w:ascii="宋体" w:hAnsi="宋体" w:eastAsia="宋体" w:cs="宋体"/>
          <w:color w:val="000000"/>
        </w:rPr>
        <w:t xml:space="preserve">项目公开招标的结果，签署本合同。</w:t>
      </w:r>
      <w:r/>
    </w:p>
    <w:p>
      <w:pPr>
        <w:pStyle w:val="856"/>
        <w:ind w:left="0" w:right="0" w:firstLine="0"/>
        <w:jc w:val="both"/>
        <w:keepLines w:val="0"/>
        <w:keepNext w:val="0"/>
        <w:pageBreakBefore w:val="0"/>
        <w:spacing w:beforeAutospacing="0" w:afterAutospacing="0" w:line="480" w:lineRule="exact"/>
        <w:widowControl w:val="off"/>
      </w:pPr>
      <w:r>
        <w:rPr>
          <w:rFonts w:hint="eastAsia" w:ascii="宋体" w:hAnsi="宋体" w:eastAsia="宋体" w:cs="宋体"/>
          <w:b/>
          <w:color w:val="000000"/>
        </w:rPr>
        <w:t xml:space="preserve">一、合同内容</w:t>
      </w:r>
      <w:r/>
    </w:p>
    <w:p>
      <w:pPr>
        <w:pStyle w:val="856"/>
        <w:ind w:left="0" w:right="0" w:firstLine="480"/>
        <w:jc w:val="both"/>
        <w:keepLines w:val="0"/>
        <w:keepNext w:val="0"/>
        <w:pageBreakBefore w:val="0"/>
        <w:spacing w:beforeAutospacing="0" w:afterAutospacing="0" w:line="480" w:lineRule="exact"/>
        <w:widowControl w:val="off"/>
      </w:pPr>
      <w:r>
        <w:rPr>
          <w:rFonts w:hint="eastAsia" w:ascii="宋体" w:hAnsi="宋体" w:eastAsia="宋体" w:cs="宋体"/>
          <w:color w:val="000000"/>
        </w:rPr>
        <w:t xml:space="preserve">1.1 标的名称：</w:t>
      </w:r>
      <w:r/>
    </w:p>
    <w:p>
      <w:pPr>
        <w:pStyle w:val="856"/>
        <w:ind w:left="0" w:right="0" w:firstLine="480"/>
        <w:jc w:val="both"/>
        <w:keepLines w:val="0"/>
        <w:keepNext w:val="0"/>
        <w:pageBreakBefore w:val="0"/>
        <w:spacing w:beforeAutospacing="0" w:afterAutospacing="0" w:line="480" w:lineRule="exact"/>
        <w:widowControl w:val="off"/>
      </w:pPr>
      <w:r>
        <w:rPr>
          <w:rFonts w:hint="eastAsia" w:ascii="宋体" w:hAnsi="宋体" w:eastAsia="宋体" w:cs="宋体"/>
          <w:color w:val="000000"/>
        </w:rPr>
        <w:t xml:space="preserve">1.2 标的质量：</w:t>
      </w:r>
      <w:r/>
    </w:p>
    <w:p>
      <w:pPr>
        <w:pStyle w:val="856"/>
        <w:ind w:left="0" w:right="0" w:firstLine="480"/>
        <w:jc w:val="both"/>
        <w:keepLines w:val="0"/>
        <w:keepNext w:val="0"/>
        <w:pageBreakBefore w:val="0"/>
        <w:spacing w:beforeAutospacing="0" w:afterAutospacing="0" w:line="480" w:lineRule="exact"/>
        <w:widowControl w:val="off"/>
      </w:pPr>
      <w:r>
        <w:rPr>
          <w:rFonts w:hint="eastAsia" w:ascii="宋体" w:hAnsi="宋体" w:eastAsia="宋体" w:cs="宋体"/>
          <w:color w:val="000000"/>
        </w:rPr>
        <w:t xml:space="preserve">1.3 标的数量（规模）：</w:t>
      </w:r>
      <w:r/>
    </w:p>
    <w:p>
      <w:pPr>
        <w:pStyle w:val="856"/>
        <w:ind w:left="0" w:right="0" w:firstLine="480"/>
        <w:jc w:val="both"/>
        <w:keepLines w:val="0"/>
        <w:keepNext w:val="0"/>
        <w:pageBreakBefore w:val="0"/>
        <w:spacing w:beforeAutospacing="0" w:afterAutospacing="0" w:line="480" w:lineRule="exact"/>
        <w:widowControl w:val="off"/>
      </w:pPr>
      <w:r>
        <w:rPr>
          <w:rFonts w:hint="eastAsia" w:ascii="宋体" w:hAnsi="宋体" w:eastAsia="宋体" w:cs="宋体"/>
          <w:color w:val="000000"/>
        </w:rPr>
        <w:t xml:space="preserve">1.4 履行时间（期限）：</w:t>
      </w:r>
      <w:r/>
    </w:p>
    <w:p>
      <w:pPr>
        <w:pStyle w:val="856"/>
        <w:ind w:left="0" w:right="0" w:firstLine="480"/>
        <w:jc w:val="both"/>
        <w:keepLines w:val="0"/>
        <w:keepNext w:val="0"/>
        <w:pageBreakBefore w:val="0"/>
        <w:spacing w:beforeAutospacing="0" w:afterAutospacing="0" w:line="480" w:lineRule="exact"/>
        <w:widowControl w:val="off"/>
      </w:pPr>
      <w:r>
        <w:rPr>
          <w:rFonts w:hint="eastAsia" w:ascii="宋体" w:hAnsi="宋体" w:eastAsia="宋体" w:cs="宋体"/>
          <w:color w:val="000000"/>
        </w:rPr>
        <w:t xml:space="preserve">1.5 履行地点：</w:t>
      </w:r>
      <w:r/>
    </w:p>
    <w:p>
      <w:pPr>
        <w:pStyle w:val="856"/>
        <w:ind w:left="0" w:right="0" w:firstLine="480"/>
        <w:jc w:val="both"/>
        <w:keepLines w:val="0"/>
        <w:keepNext w:val="0"/>
        <w:pageBreakBefore w:val="0"/>
        <w:spacing w:beforeAutospacing="0" w:afterAutospacing="0" w:line="480" w:lineRule="exact"/>
        <w:widowControl w:val="off"/>
      </w:pPr>
      <w:r>
        <w:rPr>
          <w:rFonts w:hint="eastAsia" w:ascii="宋体" w:hAnsi="宋体" w:eastAsia="宋体" w:cs="宋体"/>
          <w:color w:val="000000"/>
        </w:rPr>
        <w:t xml:space="preserve">1.6 履行方式：</w:t>
      </w:r>
      <w:r/>
    </w:p>
    <w:p>
      <w:pPr>
        <w:pStyle w:val="856"/>
        <w:ind w:left="0" w:right="0" w:firstLine="480"/>
        <w:jc w:val="both"/>
        <w:keepLines w:val="0"/>
        <w:keepNext w:val="0"/>
        <w:pageBreakBefore w:val="0"/>
        <w:spacing w:beforeAutospacing="0" w:afterAutospacing="0" w:line="480" w:lineRule="exact"/>
        <w:widowControl w:val="off"/>
      </w:pPr>
      <w:r>
        <w:rPr>
          <w:rFonts w:hint="eastAsia" w:ascii="宋体" w:hAnsi="宋体" w:eastAsia="宋体" w:cs="宋体"/>
          <w:color w:val="000000"/>
        </w:rPr>
        <w:t xml:space="preserve">1.7 包装方式：</w:t>
      </w:r>
      <w:r/>
    </w:p>
    <w:p>
      <w:pPr>
        <w:pStyle w:val="856"/>
        <w:ind w:left="0" w:right="0" w:firstLine="0"/>
        <w:jc w:val="both"/>
        <w:keepLines w:val="0"/>
        <w:keepNext w:val="0"/>
        <w:pageBreakBefore w:val="0"/>
        <w:spacing w:beforeAutospacing="0" w:afterAutospacing="0" w:line="480" w:lineRule="exact"/>
        <w:widowControl w:val="off"/>
      </w:pPr>
      <w:r>
        <w:rPr>
          <w:rFonts w:hint="eastAsia" w:ascii="宋体" w:hAnsi="宋体" w:eastAsia="宋体" w:cs="宋体"/>
          <w:b/>
          <w:color w:val="000000"/>
        </w:rPr>
        <w:t xml:space="preserve">二、合同金额</w:t>
      </w:r>
      <w:r/>
    </w:p>
    <w:p>
      <w:pPr>
        <w:pStyle w:val="856"/>
        <w:ind w:left="0" w:right="0" w:firstLine="480"/>
        <w:jc w:val="both"/>
        <w:keepLines w:val="0"/>
        <w:keepNext w:val="0"/>
        <w:pageBreakBefore w:val="0"/>
        <w:spacing w:beforeAutospacing="0" w:afterAutospacing="0" w:line="480" w:lineRule="exact"/>
        <w:widowControl w:val="off"/>
        <w:rPr>
          <w:rFonts w:hint="eastAsia" w:ascii="宋体" w:hAnsi="宋体" w:eastAsia="宋体" w:cs="宋体"/>
          <w:color w:val="000000"/>
        </w:rPr>
      </w:pPr>
      <w:r>
        <w:rPr>
          <w:rFonts w:hint="eastAsia" w:ascii="宋体" w:hAnsi="宋体" w:eastAsia="宋体" w:cs="宋体"/>
          <w:color w:val="000000"/>
        </w:rPr>
        <w:t xml:space="preserve">2.1 本合同金额为（大写）：</w:t>
      </w:r>
      <w:r>
        <w:rPr>
          <w:rFonts w:hint="eastAsia" w:eastAsia="宋体" w:cs="宋体"/>
          <w:color w:val="000000"/>
          <w:u w:val="single"/>
          <w:lang w:val="en-US" w:eastAsia="zh-CN"/>
        </w:rPr>
        <w:t xml:space="preserve">                   </w:t>
      </w:r>
      <w:r>
        <w:rPr>
          <w:rFonts w:hint="eastAsia" w:ascii="宋体" w:hAnsi="宋体" w:eastAsia="宋体" w:cs="宋体"/>
          <w:color w:val="000000"/>
        </w:rPr>
        <w:t xml:space="preserve">（</w:t>
      </w:r>
      <w:r>
        <w:rPr>
          <w:rFonts w:hint="eastAsia" w:eastAsia="宋体" w:cs="宋体"/>
          <w:color w:val="000000"/>
          <w:u w:val="single"/>
          <w:lang w:val="en-US" w:eastAsia="zh-CN"/>
        </w:rPr>
        <w:t xml:space="preserve">         </w:t>
      </w:r>
      <w:r>
        <w:rPr>
          <w:rFonts w:hint="eastAsia" w:ascii="宋体" w:hAnsi="宋体" w:eastAsia="宋体" w:cs="宋体"/>
          <w:color w:val="000000"/>
        </w:rPr>
        <w:t xml:space="preserve">元）人民币。</w:t>
      </w:r>
      <w:r/>
    </w:p>
    <w:p>
      <w:pPr>
        <w:pStyle w:val="856"/>
        <w:ind w:left="0" w:right="0" w:firstLine="480"/>
        <w:jc w:val="both"/>
        <w:keepLines w:val="0"/>
        <w:keepNext w:val="0"/>
        <w:pageBreakBefore w:val="0"/>
        <w:spacing w:beforeAutospacing="0" w:afterAutospacing="0" w:line="480" w:lineRule="exact"/>
        <w:widowControl w:val="off"/>
        <w:rPr>
          <w:rFonts w:hint="eastAsia" w:ascii="宋体" w:hAnsi="宋体" w:eastAsia="宋体" w:cs="宋体"/>
          <w:color w:val="000000"/>
        </w:rPr>
      </w:pPr>
      <w:r>
        <w:rPr>
          <w:rFonts w:hint="eastAsia" w:ascii="宋体" w:hAnsi="宋体" w:cs="宋体"/>
          <w:color w:val="000000"/>
        </w:rPr>
        <w:t xml:space="preserve">2.2合同总金额包括所投产品（含相关附配件、软件）费用、包装费、运输费、装卸费、安装调试费、测试费、验收费、质量保修期内维保费、售后服务费、投标费用、招标代理服务费、税金、各类风险费、管理费、利润、国际国内运输等保险费、报关清关、开证、办理全套免税手续费用及其他有关的为完成本项目发生的所有费用，招标文件中另有规定的除外。</w:t>
      </w:r>
      <w:r/>
    </w:p>
    <w:p>
      <w:pPr>
        <w:pStyle w:val="856"/>
        <w:ind w:left="0" w:right="0" w:firstLine="0"/>
        <w:jc w:val="both"/>
        <w:keepLines w:val="0"/>
        <w:keepNext w:val="0"/>
        <w:pageBreakBefore w:val="0"/>
        <w:spacing w:beforeAutospacing="0" w:afterAutospacing="0" w:line="480" w:lineRule="exact"/>
        <w:widowControl w:val="off"/>
      </w:pPr>
      <w:r>
        <w:rPr>
          <w:rFonts w:hint="eastAsia" w:ascii="宋体" w:hAnsi="宋体" w:eastAsia="宋体" w:cs="宋体"/>
          <w:b/>
          <w:color w:val="000000"/>
        </w:rPr>
        <w:t xml:space="preserve">三、技术资料</w:t>
      </w:r>
      <w:r/>
    </w:p>
    <w:p>
      <w:pPr>
        <w:pStyle w:val="856"/>
        <w:ind w:left="0" w:right="0" w:firstLine="480"/>
        <w:jc w:val="both"/>
        <w:keepLines w:val="0"/>
        <w:keepNext w:val="0"/>
        <w:pageBreakBefore w:val="0"/>
        <w:spacing w:beforeAutospacing="0" w:afterAutospacing="0" w:line="480" w:lineRule="exact"/>
        <w:widowControl w:val="off"/>
      </w:pPr>
      <w:r>
        <w:rPr>
          <w:rFonts w:hint="eastAsia" w:ascii="宋体" w:hAnsi="宋体" w:eastAsia="宋体" w:cs="宋体"/>
          <w:color w:val="000000"/>
        </w:rPr>
        <w:t xml:space="preserve">3.1乙方应按招标文件规定的时间向甲方提供使用货物(包含与货物相关的服务)的有关技术资料。</w:t>
      </w:r>
      <w:r/>
    </w:p>
    <w:p>
      <w:pPr>
        <w:pStyle w:val="856"/>
        <w:ind w:left="0" w:right="0" w:firstLine="480"/>
        <w:jc w:val="both"/>
        <w:keepLines w:val="0"/>
        <w:keepNext w:val="0"/>
        <w:pageBreakBefore w:val="0"/>
        <w:spacing w:beforeAutospacing="0" w:afterAutospacing="0" w:line="480" w:lineRule="exact"/>
        <w:widowControl w:val="off"/>
      </w:pPr>
      <w:r>
        <w:rPr>
          <w:rFonts w:hint="eastAsia" w:ascii="宋体" w:hAnsi="宋体" w:eastAsia="宋体" w:cs="宋体"/>
          <w:color w:val="000000"/>
        </w:rPr>
        <w:t xml:space="preserve">3.2 没有甲方事先书面同意，乙方不得将由甲方提供的有关合同或任何合同条文、规格、计划、图纸、样品或资料提供给与履行本合同无关的任何其他人。即使向履行本合同有关的人员提供，也应注意保密并限于履行合同的必需范围。</w:t>
      </w:r>
      <w:r/>
    </w:p>
    <w:p>
      <w:pPr>
        <w:pStyle w:val="856"/>
        <w:ind w:left="0" w:right="0" w:firstLine="0"/>
        <w:jc w:val="both"/>
        <w:keepLines w:val="0"/>
        <w:keepNext w:val="0"/>
        <w:pageBreakBefore w:val="0"/>
        <w:spacing w:beforeAutospacing="0" w:afterAutospacing="0" w:line="480" w:lineRule="exact"/>
        <w:widowControl w:val="off"/>
      </w:pPr>
      <w:r>
        <w:rPr>
          <w:rFonts w:hint="eastAsia" w:ascii="宋体" w:hAnsi="宋体" w:eastAsia="宋体" w:cs="宋体"/>
          <w:b/>
          <w:color w:val="000000"/>
        </w:rPr>
        <w:t xml:space="preserve">四、知识产权</w:t>
      </w:r>
      <w:r/>
    </w:p>
    <w:p>
      <w:pPr>
        <w:pStyle w:val="856"/>
        <w:ind w:left="0" w:right="0" w:firstLine="480"/>
        <w:jc w:val="both"/>
        <w:keepLines w:val="0"/>
        <w:keepNext w:val="0"/>
        <w:pageBreakBefore w:val="0"/>
        <w:spacing w:beforeAutospacing="0" w:afterAutospacing="0" w:line="480" w:lineRule="exact"/>
        <w:widowControl w:val="off"/>
      </w:pPr>
      <w:r>
        <w:rPr>
          <w:rFonts w:ascii="Times New Roman" w:hAnsi="Times New Roman"/>
          <w:color w:val="000000"/>
        </w:rPr>
        <w:t xml:space="preserve">4.1乙</w:t>
      </w:r>
      <w:r>
        <w:rPr>
          <w:rFonts w:hint="eastAsia" w:ascii="宋体" w:hAnsi="宋体" w:eastAsia="宋体" w:cs="宋体"/>
          <w:color w:val="000000"/>
        </w:rPr>
        <w:t xml:space="preserve">方应保证甲方在使用、接受本合同货物</w:t>
      </w:r>
      <w:r>
        <w:rPr>
          <w:rFonts w:ascii="Times New Roman" w:hAnsi="Times New Roman"/>
          <w:color w:val="000000"/>
        </w:rPr>
        <w:t xml:space="preserve">（包含与货物相关的服务）</w:t>
      </w:r>
      <w:r>
        <w:rPr>
          <w:rFonts w:hint="eastAsia" w:ascii="宋体" w:hAnsi="宋体" w:eastAsia="宋体" w:cs="宋体"/>
          <w:color w:val="000000"/>
        </w:rPr>
        <w:t xml:space="preserve">或其任何一部分时不受第三方提出侵犯其专利权、版权、商标权和工业设计权等知识产权的起诉。一旦出现侵权，由乙方负全部责任。</w:t>
      </w:r>
      <w:r/>
    </w:p>
    <w:p>
      <w:pPr>
        <w:pStyle w:val="856"/>
        <w:ind w:left="0" w:right="0" w:firstLine="0"/>
        <w:jc w:val="both"/>
        <w:keepLines w:val="0"/>
        <w:keepNext w:val="0"/>
        <w:pageBreakBefore w:val="0"/>
        <w:spacing w:beforeAutospacing="0" w:afterAutospacing="0" w:line="480" w:lineRule="exact"/>
        <w:widowControl w:val="off"/>
      </w:pPr>
      <w:r>
        <w:rPr>
          <w:rFonts w:hint="eastAsia" w:ascii="宋体" w:hAnsi="宋体" w:eastAsia="宋体" w:cs="宋体"/>
          <w:b/>
          <w:color w:val="000000"/>
        </w:rPr>
        <w:t xml:space="preserve">五、产权担保</w:t>
      </w:r>
      <w:r/>
    </w:p>
    <w:p>
      <w:pPr>
        <w:pStyle w:val="856"/>
        <w:ind w:left="0" w:right="0" w:firstLine="480"/>
        <w:jc w:val="both"/>
        <w:keepLines w:val="0"/>
        <w:keepNext w:val="0"/>
        <w:pageBreakBefore w:val="0"/>
        <w:spacing w:beforeAutospacing="0" w:afterAutospacing="0" w:line="480" w:lineRule="exact"/>
        <w:widowControl w:val="off"/>
      </w:pPr>
      <w:r>
        <w:rPr>
          <w:rFonts w:hint="eastAsia" w:ascii="宋体" w:hAnsi="宋体" w:eastAsia="宋体" w:cs="宋体"/>
          <w:color w:val="000000"/>
        </w:rPr>
        <w:t xml:space="preserve">5.1 乙方保证所交付的货物（包含与货物相关的服务）的所有权完全属于乙方且无任何抵押、查封等产权瑕疵。</w:t>
      </w:r>
      <w:r/>
    </w:p>
    <w:p>
      <w:pPr>
        <w:pStyle w:val="856"/>
        <w:ind w:left="0" w:right="0" w:firstLine="0"/>
        <w:jc w:val="both"/>
        <w:keepLines w:val="0"/>
        <w:keepNext w:val="0"/>
        <w:pageBreakBefore w:val="0"/>
        <w:spacing w:beforeAutospacing="0" w:afterAutospacing="0" w:line="480" w:lineRule="exact"/>
        <w:widowControl w:val="off"/>
      </w:pPr>
      <w:r>
        <w:rPr>
          <w:rFonts w:hint="eastAsia" w:ascii="宋体" w:hAnsi="宋体" w:eastAsia="宋体" w:cs="宋体"/>
          <w:b/>
          <w:color w:val="000000"/>
        </w:rPr>
        <w:t xml:space="preserve">六、履约保证金</w:t>
      </w:r>
      <w:r/>
    </w:p>
    <w:p>
      <w:pPr>
        <w:pStyle w:val="856"/>
        <w:ind w:left="0" w:right="0" w:firstLine="480"/>
        <w:jc w:val="both"/>
        <w:keepLines w:val="0"/>
        <w:keepNext w:val="0"/>
        <w:pageBreakBefore w:val="0"/>
        <w:spacing w:beforeAutospacing="0" w:afterAutospacing="0" w:line="480" w:lineRule="exact"/>
        <w:widowControl w:val="off"/>
        <w:rPr>
          <w:rFonts w:hint="eastAsia" w:ascii="宋体" w:hAnsi="宋体" w:eastAsia="宋体" w:cs="宋体"/>
          <w:color w:val="000000"/>
        </w:rPr>
      </w:pPr>
      <w:r>
        <w:rPr>
          <w:rFonts w:hint="eastAsia" w:ascii="宋体" w:hAnsi="宋体" w:eastAsia="宋体" w:cs="宋体"/>
          <w:color w:val="000000"/>
        </w:rPr>
        <w:t xml:space="preserve">6.1 乙方交纳人民币_________元作为本合同的履约保证金。</w:t>
      </w:r>
      <w:r/>
    </w:p>
    <w:p>
      <w:pPr>
        <w:pStyle w:val="856"/>
        <w:ind w:left="0" w:right="0" w:firstLine="480"/>
        <w:jc w:val="both"/>
        <w:keepLines w:val="0"/>
        <w:keepNext w:val="0"/>
        <w:pageBreakBefore w:val="0"/>
        <w:spacing w:beforeAutospacing="0" w:afterAutospacing="0" w:line="480" w:lineRule="exact"/>
        <w:widowControl w:val="off"/>
        <w:rPr>
          <w:rFonts w:ascii="宋体" w:hAnsi="宋体" w:eastAsia="宋体" w:cs="宋体"/>
          <w:color w:val="7030a0"/>
        </w:rPr>
      </w:pPr>
      <w:r>
        <w:rPr>
          <w:rFonts w:hint="eastAsia" w:ascii="宋体" w:hAnsi="宋体" w:eastAsia="宋体" w:cs="宋体"/>
          <w:color w:val="7030a0"/>
        </w:rPr>
        <w:t xml:space="preserve">（备注：不得超过合同金额的10%，鼓励采购人对AA评级及以上政府采购供应商（需提供信用管理部门备案的第三方信用报告）免收履约保证金或降低履约保证金缴纳比例。依据《关于在全省政府采购领域推行电子履约保函（保险）的通知》，鼓励供应商自愿使用履约保函（保险）代替缴纳履约保证金</w:t>
      </w:r>
      <w:r>
        <w:rPr>
          <w:rFonts w:hint="eastAsia" w:eastAsia="宋体" w:cs="宋体"/>
          <w:color w:val="7030a0"/>
          <w:lang w:eastAsia="zh-CN"/>
        </w:rPr>
        <w:t xml:space="preserve">。</w:t>
      </w:r>
      <w:r>
        <w:rPr>
          <w:rFonts w:hint="eastAsia" w:ascii="宋体" w:hAnsi="宋体" w:eastAsia="宋体" w:cs="宋体"/>
          <w:color w:val="7030a0"/>
        </w:rPr>
        <w:t xml:space="preserve">）</w:t>
      </w:r>
      <w:r/>
    </w:p>
    <w:p>
      <w:pPr>
        <w:pStyle w:val="856"/>
        <w:ind w:left="0" w:right="0" w:firstLine="480"/>
        <w:jc w:val="both"/>
        <w:keepLines w:val="0"/>
        <w:keepNext w:val="0"/>
        <w:pageBreakBefore w:val="0"/>
        <w:spacing w:beforeAutospacing="0" w:afterAutospacing="0" w:line="480" w:lineRule="exact"/>
        <w:widowControl w:val="off"/>
      </w:pPr>
      <w:r>
        <w:rPr>
          <w:rFonts w:hint="eastAsia" w:ascii="宋体" w:hAnsi="宋体" w:eastAsia="宋体" w:cs="宋体"/>
          <w:color w:val="000000"/>
        </w:rPr>
        <w:t xml:space="preserve">6.2合同履行结束后，甲方应及时退还交纳的履约保证金。</w:t>
      </w:r>
      <w:r/>
    </w:p>
    <w:p>
      <w:pPr>
        <w:ind w:left="0" w:right="0" w:firstLine="480"/>
        <w:keepLines w:val="0"/>
        <w:keepNext w:val="0"/>
        <w:pageBreakBefore w:val="0"/>
        <w:spacing w:line="480" w:lineRule="exact"/>
        <w:widowControl w:val="off"/>
        <w:rPr>
          <w:rFonts w:ascii="宋体" w:hAnsi="宋体" w:eastAsia="宋体" w:cs="宋体"/>
          <w:color w:val="auto"/>
          <w:sz w:val="24"/>
        </w:rPr>
      </w:pPr>
      <w:r>
        <w:rPr>
          <w:rFonts w:hint="eastAsia" w:ascii="宋体" w:hAnsi="宋体" w:eastAsia="宋体" w:cs="宋体"/>
          <w:color w:val="auto"/>
          <w:sz w:val="24"/>
        </w:rPr>
        <w:t xml:space="preserve">6.3履约保证金的退还：</w:t>
      </w:r>
      <w:r/>
    </w:p>
    <w:p>
      <w:pPr>
        <w:ind w:left="0" w:right="0" w:firstLine="480"/>
        <w:keepLines w:val="0"/>
        <w:keepNext w:val="0"/>
        <w:pageBreakBefore w:val="0"/>
        <w:spacing w:line="480" w:lineRule="exact"/>
        <w:widowControl w:val="off"/>
        <w:rPr>
          <w:rFonts w:ascii="宋体" w:hAnsi="宋体" w:eastAsia="宋体" w:cs="宋体"/>
          <w:color w:val="auto"/>
          <w:sz w:val="24"/>
        </w:rPr>
      </w:pPr>
      <w:r>
        <w:rPr>
          <w:rFonts w:hint="eastAsia" w:ascii="宋体" w:hAnsi="宋体" w:eastAsia="宋体" w:cs="宋体"/>
          <w:color w:val="auto"/>
          <w:sz w:val="24"/>
        </w:rPr>
        <w:t xml:space="preserve">6.3.1方式：无息退还至投标人缴纳履约保证金的账户。如为保函，在到期时自行失效。</w:t>
      </w:r>
      <w:r/>
    </w:p>
    <w:p>
      <w:pPr>
        <w:ind w:left="0" w:right="0" w:firstLine="480"/>
        <w:keepLines w:val="0"/>
        <w:keepNext w:val="0"/>
        <w:pageBreakBefore w:val="0"/>
        <w:spacing w:line="480" w:lineRule="exact"/>
        <w:widowControl w:val="off"/>
        <w:rPr>
          <w:rFonts w:ascii="宋体" w:hAnsi="宋体" w:eastAsia="宋体" w:cs="宋体"/>
          <w:color w:val="auto"/>
          <w:sz w:val="24"/>
        </w:rPr>
      </w:pPr>
      <w:r>
        <w:rPr>
          <w:rFonts w:hint="eastAsia" w:ascii="宋体" w:hAnsi="宋体" w:eastAsia="宋体" w:cs="宋体"/>
          <w:color w:val="auto"/>
          <w:sz w:val="24"/>
        </w:rPr>
        <w:t xml:space="preserve">6.3.2时间：验收合格且采购人收到发票后30日内。</w:t>
      </w:r>
      <w:r/>
    </w:p>
    <w:p>
      <w:pPr>
        <w:ind w:left="0" w:right="0" w:firstLine="480"/>
        <w:keepLines w:val="0"/>
        <w:keepNext w:val="0"/>
        <w:pageBreakBefore w:val="0"/>
        <w:spacing w:line="480" w:lineRule="exact"/>
        <w:widowControl w:val="off"/>
        <w:rPr>
          <w:rFonts w:ascii="宋体" w:hAnsi="宋体" w:eastAsia="宋体" w:cs="宋体"/>
          <w:color w:val="auto"/>
          <w:sz w:val="24"/>
        </w:rPr>
      </w:pPr>
      <w:r>
        <w:rPr>
          <w:rFonts w:hint="eastAsia" w:ascii="宋体" w:hAnsi="宋体" w:eastAsia="宋体" w:cs="宋体"/>
          <w:color w:val="auto"/>
          <w:sz w:val="24"/>
        </w:rPr>
        <w:t xml:space="preserve">6.3.3条件：按合同要求全部履约完成并经采购人验收合格，且采购人收到中标人出具的发票。</w:t>
      </w:r>
      <w:r/>
    </w:p>
    <w:p>
      <w:pPr>
        <w:ind w:left="0" w:right="0" w:firstLine="480"/>
        <w:keepLines w:val="0"/>
        <w:keepNext w:val="0"/>
        <w:pageBreakBefore w:val="0"/>
        <w:spacing w:line="480" w:lineRule="exact"/>
        <w:widowControl w:val="off"/>
        <w:rPr>
          <w:rFonts w:ascii="宋体" w:hAnsi="宋体" w:eastAsia="宋体" w:cs="宋体"/>
          <w:color w:val="auto"/>
          <w:sz w:val="24"/>
        </w:rPr>
      </w:pPr>
      <w:r>
        <w:rPr>
          <w:rFonts w:hint="eastAsia" w:ascii="宋体" w:hAnsi="宋体" w:eastAsia="宋体" w:cs="宋体"/>
          <w:color w:val="auto"/>
          <w:sz w:val="24"/>
        </w:rPr>
        <w:t xml:space="preserve">6.3.4不予退还情形：</w:t>
      </w:r>
      <w:r/>
    </w:p>
    <w:p>
      <w:pPr>
        <w:ind w:left="0" w:right="0" w:firstLine="480"/>
        <w:keepLines w:val="0"/>
        <w:keepNext w:val="0"/>
        <w:pageBreakBefore w:val="0"/>
        <w:spacing w:line="480" w:lineRule="exact"/>
        <w:widowControl w:val="off"/>
        <w:rPr>
          <w:rFonts w:ascii="宋体" w:hAnsi="宋体" w:eastAsia="宋体" w:cs="宋体"/>
          <w:color w:val="auto"/>
          <w:sz w:val="24"/>
        </w:rPr>
      </w:pPr>
      <w:r>
        <w:rPr>
          <w:rFonts w:hint="eastAsia" w:ascii="宋体" w:hAnsi="宋体" w:eastAsia="宋体" w:cs="宋体"/>
          <w:color w:val="auto"/>
          <w:sz w:val="24"/>
        </w:rPr>
        <w:t xml:space="preserve">除不可抗力情况外，投标人出现下列情形之一的，其履约保证金，招标人将视情节决定不予退还或部分不予退还。</w:t>
      </w:r>
      <w:r/>
    </w:p>
    <w:p>
      <w:pPr>
        <w:ind w:left="0" w:right="0" w:firstLine="480"/>
        <w:keepLines w:val="0"/>
        <w:keepNext w:val="0"/>
        <w:pageBreakBefore w:val="0"/>
        <w:spacing w:line="480" w:lineRule="exact"/>
        <w:widowControl w:val="off"/>
        <w:rPr>
          <w:rFonts w:ascii="宋体" w:hAnsi="宋体" w:eastAsia="宋体" w:cs="宋体"/>
          <w:color w:val="auto"/>
          <w:sz w:val="24"/>
        </w:rPr>
      </w:pPr>
      <w:r>
        <w:rPr>
          <w:rFonts w:hint="eastAsia" w:ascii="宋体" w:hAnsi="宋体" w:eastAsia="宋体" w:cs="宋体"/>
          <w:color w:val="auto"/>
          <w:sz w:val="24"/>
        </w:rPr>
        <w:t xml:space="preserve">（1）中标人无正当理由拒绝签订合同的，或者在签订合同时向采购人提出附加条件或者更改合同实质性内容要求的；</w:t>
      </w:r>
      <w:r/>
    </w:p>
    <w:p>
      <w:pPr>
        <w:ind w:left="0" w:right="0" w:firstLine="480"/>
        <w:keepLines w:val="0"/>
        <w:keepNext w:val="0"/>
        <w:pageBreakBefore w:val="0"/>
        <w:spacing w:line="480" w:lineRule="exact"/>
        <w:widowControl w:val="off"/>
        <w:rPr>
          <w:rFonts w:ascii="宋体" w:hAnsi="宋体" w:eastAsia="宋体" w:cs="宋体"/>
          <w:color w:val="auto"/>
          <w:sz w:val="24"/>
        </w:rPr>
      </w:pPr>
      <w:r>
        <w:rPr>
          <w:rFonts w:hint="eastAsia" w:ascii="宋体" w:hAnsi="宋体" w:eastAsia="宋体" w:cs="宋体"/>
          <w:color w:val="auto"/>
          <w:sz w:val="24"/>
        </w:rPr>
        <w:t xml:space="preserve">（2）中标人不履行与采购人订立的合同的；</w:t>
      </w:r>
      <w:r/>
    </w:p>
    <w:p>
      <w:pPr>
        <w:ind w:left="0" w:right="0" w:firstLine="480"/>
        <w:keepLines w:val="0"/>
        <w:keepNext w:val="0"/>
        <w:pageBreakBefore w:val="0"/>
        <w:spacing w:line="480" w:lineRule="exact"/>
        <w:widowControl w:val="off"/>
        <w:rPr>
          <w:rFonts w:ascii="宋体" w:hAnsi="宋体" w:eastAsia="宋体" w:cs="宋体"/>
          <w:color w:val="auto"/>
          <w:sz w:val="24"/>
        </w:rPr>
      </w:pPr>
      <w:r>
        <w:rPr>
          <w:rFonts w:hint="eastAsia" w:ascii="宋体" w:hAnsi="宋体" w:eastAsia="宋体" w:cs="宋体"/>
          <w:color w:val="auto"/>
          <w:sz w:val="24"/>
        </w:rPr>
        <w:t xml:space="preserve">（3）中标人所供货物或服务不符合招标文件规定要求的；</w:t>
      </w:r>
      <w:r/>
    </w:p>
    <w:p>
      <w:pPr>
        <w:ind w:left="0" w:right="0" w:firstLine="480"/>
        <w:keepLines w:val="0"/>
        <w:keepNext w:val="0"/>
        <w:pageBreakBefore w:val="0"/>
        <w:spacing w:line="480" w:lineRule="exact"/>
        <w:widowControl w:val="off"/>
        <w:rPr>
          <w:rFonts w:ascii="宋体" w:hAnsi="宋体" w:eastAsia="宋体" w:cs="宋体"/>
          <w:color w:val="auto"/>
          <w:sz w:val="24"/>
        </w:rPr>
      </w:pPr>
      <w:r>
        <w:rPr>
          <w:rFonts w:hint="eastAsia" w:ascii="宋体" w:hAnsi="宋体" w:eastAsia="宋体" w:cs="宋体"/>
          <w:color w:val="auto"/>
          <w:sz w:val="24"/>
        </w:rPr>
        <w:t xml:space="preserve">（4）中标人采取欺骗、弄虚作假方式投标的或与其它投标人串通投标的；</w:t>
      </w:r>
      <w:r/>
    </w:p>
    <w:p>
      <w:pPr>
        <w:ind w:left="0" w:right="0" w:firstLine="480"/>
        <w:keepLines w:val="0"/>
        <w:keepNext w:val="0"/>
        <w:pageBreakBefore w:val="0"/>
        <w:spacing w:line="480" w:lineRule="exact"/>
        <w:widowControl w:val="off"/>
        <w:rPr>
          <w:rFonts w:ascii="宋体" w:hAnsi="宋体" w:eastAsia="宋体" w:cs="宋体"/>
          <w:color w:val="auto"/>
          <w:sz w:val="24"/>
        </w:rPr>
      </w:pPr>
      <w:r>
        <w:rPr>
          <w:rFonts w:hint="eastAsia" w:ascii="宋体" w:hAnsi="宋体" w:eastAsia="宋体" w:cs="宋体"/>
          <w:color w:val="auto"/>
          <w:sz w:val="24"/>
        </w:rPr>
        <w:t xml:space="preserve">（5）中标人将合同内容转包、违法分包的；</w:t>
      </w:r>
      <w:r/>
    </w:p>
    <w:p>
      <w:pPr>
        <w:ind w:left="0" w:right="0" w:firstLine="480"/>
        <w:keepLines w:val="0"/>
        <w:keepNext w:val="0"/>
        <w:pageBreakBefore w:val="0"/>
        <w:spacing w:line="480" w:lineRule="exact"/>
        <w:widowControl w:val="off"/>
        <w:rPr>
          <w:rFonts w:ascii="宋体" w:hAnsi="宋体" w:eastAsia="宋体" w:cs="宋体"/>
          <w:color w:val="auto"/>
          <w:sz w:val="24"/>
        </w:rPr>
      </w:pPr>
      <w:r>
        <w:rPr>
          <w:rFonts w:hint="eastAsia" w:ascii="宋体" w:hAnsi="宋体" w:eastAsia="宋体" w:cs="宋体"/>
          <w:color w:val="auto"/>
          <w:sz w:val="24"/>
        </w:rPr>
        <w:t xml:space="preserve">（6）中标人故意捏造事实或伪造证明材料，进行虚假恶意投诉或反映的。</w:t>
      </w:r>
      <w:r/>
    </w:p>
    <w:p>
      <w:pPr>
        <w:ind w:left="0" w:right="0" w:firstLine="480"/>
        <w:keepLines w:val="0"/>
        <w:keepNext w:val="0"/>
        <w:pageBreakBefore w:val="0"/>
        <w:spacing w:line="480" w:lineRule="exact"/>
        <w:widowControl w:val="off"/>
        <w:rPr>
          <w:rFonts w:ascii="宋体" w:hAnsi="宋体" w:eastAsia="宋体" w:cs="宋体"/>
          <w:color w:val="auto"/>
          <w:sz w:val="24"/>
        </w:rPr>
      </w:pPr>
      <w:r>
        <w:rPr>
          <w:rFonts w:hint="eastAsia" w:ascii="宋体" w:hAnsi="宋体" w:eastAsia="宋体" w:cs="宋体"/>
          <w:color w:val="auto"/>
          <w:sz w:val="24"/>
        </w:rPr>
        <w:t xml:space="preserve">6.3.5逾期退还的违约责任：采购人逾期无故未退还履约保证金的，按中国人民银行同期贷款基准利率上浮20%后的利率支付超期资金占用费，但因供应商自身原因导致无法及时退还的除外。</w:t>
      </w:r>
      <w:r/>
    </w:p>
    <w:p>
      <w:pPr>
        <w:pStyle w:val="856"/>
        <w:ind w:left="0" w:right="0" w:firstLine="0"/>
        <w:jc w:val="both"/>
        <w:keepLines w:val="0"/>
        <w:keepNext w:val="0"/>
        <w:pageBreakBefore w:val="0"/>
        <w:spacing w:beforeAutospacing="0" w:afterAutospacing="0" w:line="480" w:lineRule="exact"/>
        <w:widowControl w:val="off"/>
      </w:pPr>
      <w:r>
        <w:rPr>
          <w:rFonts w:hint="eastAsia" w:ascii="宋体" w:hAnsi="宋体" w:eastAsia="宋体" w:cs="宋体"/>
          <w:b/>
          <w:color w:val="000000"/>
        </w:rPr>
        <w:t xml:space="preserve">七、合同转包或分包</w:t>
      </w:r>
      <w:r/>
    </w:p>
    <w:p>
      <w:pPr>
        <w:pStyle w:val="856"/>
        <w:ind w:left="0" w:right="0" w:firstLine="480"/>
        <w:jc w:val="both"/>
        <w:keepLines w:val="0"/>
        <w:keepNext w:val="0"/>
        <w:pageBreakBefore w:val="0"/>
        <w:spacing w:beforeAutospacing="0" w:afterAutospacing="0" w:line="480" w:lineRule="exact"/>
        <w:widowControl w:val="off"/>
      </w:pPr>
      <w:r>
        <w:rPr>
          <w:rFonts w:hint="eastAsia" w:ascii="宋体" w:hAnsi="宋体" w:eastAsia="宋体" w:cs="宋体"/>
          <w:color w:val="000000"/>
        </w:rPr>
        <w:t xml:space="preserve">7.1乙方不得将合同标的转包给他人履行。</w:t>
      </w:r>
      <w:r/>
    </w:p>
    <w:p>
      <w:pPr>
        <w:pStyle w:val="856"/>
        <w:ind w:left="0" w:right="0" w:firstLine="480"/>
        <w:jc w:val="both"/>
        <w:keepLines w:val="0"/>
        <w:keepNext w:val="0"/>
        <w:pageBreakBefore w:val="0"/>
        <w:spacing w:beforeAutospacing="0" w:afterAutospacing="0" w:line="480" w:lineRule="exact"/>
        <w:widowControl w:val="off"/>
      </w:pPr>
      <w:r>
        <w:rPr>
          <w:rFonts w:hint="eastAsia" w:ascii="宋体" w:hAnsi="宋体" w:eastAsia="宋体" w:cs="宋体"/>
          <w:color w:val="000000"/>
        </w:rPr>
        <w:t xml:space="preserve">7.2乙方不得将合同标的分包给他人履行。</w:t>
      </w:r>
      <w:r/>
    </w:p>
    <w:p>
      <w:pPr>
        <w:pStyle w:val="856"/>
        <w:ind w:left="0" w:right="0" w:firstLine="480"/>
        <w:jc w:val="both"/>
        <w:keepLines w:val="0"/>
        <w:keepNext w:val="0"/>
        <w:pageBreakBefore w:val="0"/>
        <w:spacing w:beforeAutospacing="0" w:afterAutospacing="0" w:line="480" w:lineRule="exact"/>
        <w:widowControl w:val="off"/>
      </w:pPr>
      <w:r>
        <w:rPr>
          <w:rFonts w:hint="eastAsia" w:ascii="宋体" w:hAnsi="宋体" w:eastAsia="宋体" w:cs="宋体"/>
          <w:color w:val="000000"/>
        </w:rPr>
        <w:t xml:space="preserve">7.3乙方如有转包或未经甲方同意的分包行为，甲方有权给予终止合同。</w:t>
      </w:r>
      <w:r/>
    </w:p>
    <w:p>
      <w:pPr>
        <w:pStyle w:val="856"/>
        <w:ind w:left="0" w:right="0" w:firstLine="0"/>
        <w:jc w:val="both"/>
        <w:keepLines w:val="0"/>
        <w:keepNext w:val="0"/>
        <w:pageBreakBefore w:val="0"/>
        <w:spacing w:beforeAutospacing="0" w:afterAutospacing="0" w:line="480" w:lineRule="exact"/>
        <w:widowControl w:val="off"/>
      </w:pPr>
      <w:r>
        <w:rPr>
          <w:rFonts w:hint="eastAsia" w:ascii="宋体" w:hAnsi="宋体" w:eastAsia="宋体" w:cs="宋体"/>
          <w:b/>
          <w:color w:val="000000"/>
        </w:rPr>
        <w:t xml:space="preserve">八、合同款项支付</w:t>
      </w:r>
      <w:r/>
    </w:p>
    <w:p>
      <w:pPr>
        <w:pStyle w:val="856"/>
        <w:ind w:left="0" w:right="0" w:firstLine="480"/>
        <w:jc w:val="both"/>
        <w:keepLines w:val="0"/>
        <w:keepNext w:val="0"/>
        <w:pageBreakBefore w:val="0"/>
        <w:spacing w:beforeAutospacing="0" w:afterAutospacing="0" w:line="480" w:lineRule="exact"/>
        <w:widowControl w:val="off"/>
        <w:rPr>
          <w:rFonts w:hint="eastAsia" w:ascii="宋体" w:hAnsi="宋体" w:eastAsia="宋体" w:cs="宋体"/>
          <w:sz w:val="24"/>
          <w:szCs w:val="24"/>
        </w:rPr>
      </w:pPr>
      <w:r>
        <w:rPr>
          <w:rFonts w:hint="eastAsia" w:ascii="宋体" w:hAnsi="宋体" w:eastAsia="宋体" w:cs="宋体"/>
          <w:color w:val="000000"/>
          <w:sz w:val="24"/>
          <w:szCs w:val="24"/>
        </w:rPr>
        <w:t xml:space="preserve">8.1合同款项的支付方式及进度安排</w:t>
      </w:r>
      <w:r/>
    </w:p>
    <w:p>
      <w:pPr>
        <w:pStyle w:val="856"/>
        <w:ind w:left="0" w:right="0" w:firstLine="480"/>
        <w:jc w:val="both"/>
        <w:keepLines w:val="0"/>
        <w:keepNext w:val="0"/>
        <w:pageBreakBefore w:val="0"/>
        <w:spacing w:beforeAutospacing="0" w:afterAutospacing="0" w:line="480" w:lineRule="exact"/>
        <w:widowControl w:val="off"/>
        <w:rPr>
          <w:rFonts w:hint="eastAsia" w:ascii="宋体" w:hAnsi="宋体" w:eastAsia="宋体" w:cs="宋体"/>
          <w:b w:val="0"/>
          <w:bCs/>
          <w:color w:val="000000"/>
        </w:rPr>
      </w:pPr>
      <w:r>
        <w:rPr>
          <w:rFonts w:hint="eastAsia" w:ascii="宋体" w:hAnsi="宋体" w:eastAsia="宋体" w:cs="宋体"/>
          <w:b w:val="0"/>
          <w:bCs/>
          <w:color w:val="000000"/>
        </w:rPr>
        <w:t xml:space="preserve">本项目落实预付款制度，预付款比例为30%。在签订合同时，中标供应商明确书面表示无需预付款或者主动要求降低预付款比例的，采购人可不适用前述规定。</w:t>
      </w:r>
      <w:r/>
    </w:p>
    <w:p>
      <w:pPr>
        <w:pStyle w:val="856"/>
        <w:ind w:left="0" w:right="0" w:firstLine="0"/>
        <w:jc w:val="both"/>
        <w:keepLines w:val="0"/>
        <w:keepNext w:val="0"/>
        <w:pageBreakBefore w:val="0"/>
        <w:spacing w:beforeAutospacing="0" w:afterAutospacing="0" w:line="480" w:lineRule="exact"/>
        <w:widowControl w:val="off"/>
        <w:rPr>
          <w:rFonts w:hint="eastAsia" w:ascii="宋体" w:hAnsi="宋体" w:eastAsia="宋体" w:cs="宋体"/>
          <w:b w:val="0"/>
          <w:bCs/>
          <w:color w:val="000000"/>
        </w:rPr>
      </w:pPr>
      <w:r>
        <w:rPr>
          <w:rFonts w:hint="eastAsia" w:ascii="宋体" w:hAnsi="宋体" w:eastAsia="宋体" w:cs="宋体"/>
          <w:b w:val="0"/>
          <w:bCs/>
          <w:color w:val="000000"/>
          <w:lang w:val="en-US" w:eastAsia="zh-CN"/>
        </w:rPr>
        <w:t xml:space="preserve">    </w:t>
      </w:r>
      <w:r>
        <w:rPr>
          <w:rFonts w:hint="eastAsia" w:ascii="宋体" w:hAnsi="宋体" w:eastAsia="宋体" w:cs="宋体"/>
          <w:b w:val="0"/>
          <w:bCs/>
          <w:color w:val="000000"/>
        </w:rPr>
        <w:t xml:space="preserve">设备采购到达项目现场后，经甲方点验无误后方可进行安装；设备安装调试完毕，对相关操作人员培训完成并验收合格后付至甲方确认设备数量合同价款的95%。</w:t>
      </w:r>
      <w:r/>
    </w:p>
    <w:p>
      <w:pPr>
        <w:pStyle w:val="856"/>
        <w:ind w:left="0" w:right="0" w:firstLine="0"/>
        <w:jc w:val="both"/>
        <w:keepLines w:val="0"/>
        <w:keepNext w:val="0"/>
        <w:pageBreakBefore w:val="0"/>
        <w:spacing w:beforeAutospacing="0" w:afterAutospacing="0" w:line="480" w:lineRule="exact"/>
        <w:widowControl w:val="off"/>
        <w:rPr>
          <w:rFonts w:hint="eastAsia" w:ascii="宋体" w:hAnsi="宋体" w:eastAsia="宋体" w:cs="宋体"/>
          <w:b w:val="0"/>
          <w:bCs/>
          <w:color w:val="000000"/>
        </w:rPr>
      </w:pPr>
      <w:r>
        <w:rPr>
          <w:rFonts w:hint="eastAsia" w:ascii="宋体" w:hAnsi="宋体" w:eastAsia="宋体" w:cs="宋体"/>
          <w:b w:val="0"/>
          <w:bCs/>
          <w:color w:val="000000"/>
          <w:lang w:val="en-US" w:eastAsia="zh-CN"/>
        </w:rPr>
        <w:t xml:space="preserve">    </w:t>
      </w:r>
      <w:r>
        <w:rPr>
          <w:rFonts w:hint="eastAsia" w:ascii="宋体" w:hAnsi="宋体" w:eastAsia="宋体" w:cs="宋体"/>
          <w:b w:val="0"/>
          <w:bCs/>
          <w:color w:val="000000"/>
        </w:rPr>
        <w:t xml:space="preserve">余款在质量保证期届满后，如未发现质量问题则无息付清；如发现质量问题，乙方应当无偿维修、更换，质量保证期与余款支付时间重新计算。</w:t>
      </w:r>
      <w:r/>
    </w:p>
    <w:p>
      <w:pPr>
        <w:pStyle w:val="856"/>
        <w:ind w:right="0" w:firstLine="480"/>
        <w:jc w:val="both"/>
        <w:keepLines w:val="0"/>
        <w:keepNext w:val="0"/>
        <w:pageBreakBefore w:val="0"/>
        <w:spacing w:beforeAutospacing="0" w:afterAutospacing="0" w:line="480" w:lineRule="exact"/>
        <w:widowControl w:val="off"/>
        <w:rPr>
          <w:rFonts w:hint="eastAsia" w:ascii="宋体" w:hAnsi="宋体" w:eastAsia="宋体" w:cs="宋体"/>
          <w:b w:val="0"/>
          <w:bCs/>
          <w:color w:val="000000"/>
        </w:rPr>
      </w:pPr>
      <w:r>
        <w:rPr>
          <w:rFonts w:hint="eastAsia" w:ascii="宋体" w:hAnsi="宋体" w:eastAsia="宋体" w:cs="宋体"/>
          <w:b w:val="0"/>
          <w:bCs/>
          <w:color w:val="000000"/>
        </w:rPr>
        <w:t xml:space="preserve">每次付款前，乙方应当开具相应金额的增值税发票并送达甲方，否则，甲方付款时间顺延且不承担违约责任。</w:t>
      </w:r>
      <w:r/>
    </w:p>
    <w:p>
      <w:pPr>
        <w:pStyle w:val="856"/>
        <w:ind w:left="0" w:right="0" w:firstLine="0"/>
        <w:jc w:val="both"/>
        <w:keepLines w:val="0"/>
        <w:keepNext w:val="0"/>
        <w:pageBreakBefore w:val="0"/>
        <w:spacing w:beforeAutospacing="0" w:afterAutospacing="0" w:line="480" w:lineRule="exact"/>
        <w:widowControl w:val="off"/>
      </w:pPr>
      <w:r>
        <w:rPr>
          <w:rFonts w:hint="eastAsia" w:ascii="宋体" w:hAnsi="宋体" w:eastAsia="宋体" w:cs="宋体"/>
          <w:b/>
          <w:color w:val="000000"/>
        </w:rPr>
        <w:t xml:space="preserve">九、税费</w:t>
      </w:r>
      <w:r/>
    </w:p>
    <w:p>
      <w:pPr>
        <w:pStyle w:val="856"/>
        <w:ind w:left="0" w:right="0" w:firstLine="480"/>
        <w:jc w:val="both"/>
        <w:keepLines w:val="0"/>
        <w:keepNext w:val="0"/>
        <w:pageBreakBefore w:val="0"/>
        <w:spacing w:beforeAutospacing="0" w:afterAutospacing="0" w:line="480" w:lineRule="exact"/>
        <w:widowControl w:val="off"/>
      </w:pPr>
      <w:r>
        <w:rPr>
          <w:rFonts w:hint="eastAsia" w:ascii="宋体" w:hAnsi="宋体" w:eastAsia="宋体" w:cs="宋体"/>
          <w:color w:val="000000"/>
        </w:rPr>
        <w:t xml:space="preserve">9.1本合同执行中相关的一切税费均由乙方负担。</w:t>
      </w:r>
      <w:r/>
    </w:p>
    <w:p>
      <w:pPr>
        <w:pStyle w:val="856"/>
        <w:ind w:left="0" w:right="0" w:firstLine="0"/>
        <w:jc w:val="both"/>
        <w:keepLines w:val="0"/>
        <w:keepNext w:val="0"/>
        <w:pageBreakBefore w:val="0"/>
        <w:spacing w:beforeAutospacing="0" w:afterAutospacing="0" w:line="480" w:lineRule="exact"/>
        <w:widowControl w:val="off"/>
      </w:pPr>
      <w:r>
        <w:rPr>
          <w:rFonts w:hint="eastAsia" w:ascii="宋体" w:hAnsi="宋体" w:eastAsia="宋体" w:cs="宋体"/>
          <w:b/>
          <w:color w:val="000000"/>
        </w:rPr>
        <w:t xml:space="preserve">十、质量保修范围和保修期及售后服务</w:t>
      </w:r>
      <w:r/>
    </w:p>
    <w:p>
      <w:pPr>
        <w:pStyle w:val="856"/>
        <w:ind w:right="0" w:firstLine="480"/>
        <w:jc w:val="both"/>
        <w:keepLines w:val="0"/>
        <w:keepNext w:val="0"/>
        <w:pageBreakBefore w:val="0"/>
        <w:spacing w:beforeAutospacing="0" w:afterAutospacing="0" w:line="480" w:lineRule="exact"/>
        <w:widowControl w:val="off"/>
      </w:pPr>
      <w:r>
        <w:rPr>
          <w:rFonts w:hint="eastAsia" w:ascii="宋体" w:hAnsi="宋体" w:eastAsia="宋体" w:cs="宋体"/>
          <w:color w:val="000000"/>
        </w:rPr>
        <w:t xml:space="preserve">10.1 乙方应按招标文件规定的货物性能、技术要求、质量标准向甲方提供未经使用的全新产品。</w:t>
      </w:r>
      <w:r/>
    </w:p>
    <w:p>
      <w:pPr>
        <w:pStyle w:val="856"/>
        <w:ind w:right="0" w:firstLine="480"/>
        <w:jc w:val="both"/>
        <w:keepLines w:val="0"/>
        <w:keepNext w:val="0"/>
        <w:pageBreakBefore w:val="0"/>
        <w:spacing w:beforeAutospacing="0" w:afterAutospacing="0" w:line="480" w:lineRule="exact"/>
        <w:widowControl w:val="off"/>
      </w:pPr>
      <w:r>
        <w:rPr>
          <w:rFonts w:hint="eastAsia" w:ascii="宋体" w:hAnsi="宋体" w:eastAsia="宋体" w:cs="宋体"/>
          <w:color w:val="000000"/>
        </w:rPr>
        <w:t xml:space="preserve">10.2 乙方提供的货物在质量期内因货物本身的质量问题发生故障，乙方应负责免费更换。对达不到技术要求者，根据实际情况，经双方协商，可按以下办法处理：</w:t>
      </w:r>
      <w:r/>
    </w:p>
    <w:p>
      <w:pPr>
        <w:pStyle w:val="856"/>
        <w:ind w:left="0" w:right="0" w:firstLine="480"/>
        <w:jc w:val="both"/>
        <w:keepLines w:val="0"/>
        <w:keepNext w:val="0"/>
        <w:pageBreakBefore w:val="0"/>
        <w:spacing w:beforeAutospacing="0" w:afterAutospacing="0" w:line="480" w:lineRule="exact"/>
        <w:widowControl w:val="off"/>
      </w:pPr>
      <w:r>
        <w:rPr>
          <w:rFonts w:hint="eastAsia" w:ascii="宋体" w:hAnsi="宋体" w:eastAsia="宋体" w:cs="宋体"/>
          <w:color w:val="000000"/>
        </w:rPr>
        <w:t xml:space="preserve">⑴更换：由乙方承担所发生的全部费用。</w:t>
      </w:r>
      <w:r/>
    </w:p>
    <w:p>
      <w:pPr>
        <w:pStyle w:val="856"/>
        <w:ind w:left="0" w:right="0" w:firstLine="480"/>
        <w:jc w:val="both"/>
        <w:keepLines w:val="0"/>
        <w:keepNext w:val="0"/>
        <w:pageBreakBefore w:val="0"/>
        <w:spacing w:beforeAutospacing="0" w:afterAutospacing="0" w:line="480" w:lineRule="exact"/>
        <w:widowControl w:val="off"/>
      </w:pPr>
      <w:r>
        <w:rPr>
          <w:rFonts w:hint="eastAsia" w:ascii="宋体" w:hAnsi="宋体" w:eastAsia="宋体" w:cs="宋体"/>
          <w:color w:val="000000"/>
        </w:rPr>
        <w:t xml:space="preserve">⑵贬值处理：由甲乙双方合议定价。</w:t>
      </w:r>
      <w:r/>
    </w:p>
    <w:p>
      <w:pPr>
        <w:pStyle w:val="856"/>
        <w:ind w:left="0" w:right="0" w:firstLine="480"/>
        <w:jc w:val="both"/>
        <w:keepLines w:val="0"/>
        <w:keepNext w:val="0"/>
        <w:pageBreakBefore w:val="0"/>
        <w:spacing w:beforeAutospacing="0" w:afterAutospacing="0" w:line="480" w:lineRule="exact"/>
        <w:widowControl w:val="off"/>
      </w:pPr>
      <w:r>
        <w:rPr>
          <w:rFonts w:hint="eastAsia" w:ascii="宋体" w:hAnsi="宋体" w:eastAsia="宋体" w:cs="宋体"/>
          <w:color w:val="000000"/>
        </w:rPr>
        <w:t xml:space="preserve">⑶退货处理：乙方应退还甲方支付的合同款，同时应承担该货物的直接费用（运输、保险、检验、货款利息及银行手续费等）。</w:t>
      </w:r>
      <w:r/>
    </w:p>
    <w:p>
      <w:pPr>
        <w:pStyle w:val="856"/>
        <w:ind w:left="0" w:right="0" w:firstLine="480"/>
        <w:jc w:val="both"/>
        <w:keepLines w:val="0"/>
        <w:keepNext w:val="0"/>
        <w:pageBreakBefore w:val="0"/>
        <w:spacing w:beforeAutospacing="0" w:afterAutospacing="0" w:line="480" w:lineRule="exact"/>
        <w:widowControl w:val="off"/>
      </w:pPr>
      <w:r>
        <w:rPr>
          <w:rFonts w:hint="eastAsia" w:ascii="宋体" w:hAnsi="宋体" w:eastAsia="宋体" w:cs="宋体"/>
          <w:color w:val="000000"/>
        </w:rPr>
        <w:t xml:space="preserve">10.3 如在使用过程中发生质量问题，乙方在接到甲方通知后在_________小时内到达甲方现场。</w:t>
      </w:r>
      <w:r/>
    </w:p>
    <w:p>
      <w:pPr>
        <w:pStyle w:val="856"/>
        <w:ind w:left="0" w:right="0" w:firstLine="480"/>
        <w:jc w:val="both"/>
        <w:keepLines w:val="0"/>
        <w:keepNext w:val="0"/>
        <w:pageBreakBefore w:val="0"/>
        <w:spacing w:beforeAutospacing="0" w:afterAutospacing="0" w:line="480" w:lineRule="exact"/>
        <w:widowControl w:val="off"/>
      </w:pPr>
      <w:r>
        <w:rPr>
          <w:rFonts w:hint="eastAsia" w:ascii="宋体" w:hAnsi="宋体" w:eastAsia="宋体" w:cs="宋体"/>
          <w:color w:val="000000"/>
        </w:rPr>
        <w:t xml:space="preserve">10.4 在质保期内，乙方应对货物出现的质量及安全问题负责处理解决并承担一切费用。</w:t>
      </w:r>
      <w:r/>
    </w:p>
    <w:p>
      <w:pPr>
        <w:pStyle w:val="856"/>
        <w:ind w:left="0" w:right="0" w:firstLine="480"/>
        <w:jc w:val="both"/>
        <w:keepLines w:val="0"/>
        <w:keepNext w:val="0"/>
        <w:pageBreakBefore w:val="0"/>
        <w:spacing w:beforeAutospacing="0" w:afterAutospacing="0" w:line="480" w:lineRule="exact"/>
        <w:widowControl w:val="off"/>
      </w:pPr>
      <w:r>
        <w:rPr>
          <w:rFonts w:hint="eastAsia" w:ascii="宋体" w:hAnsi="宋体" w:eastAsia="宋体" w:cs="宋体"/>
          <w:color w:val="000000"/>
        </w:rPr>
        <w:t xml:space="preserve">10.5上述的货物免费保修期为</w:t>
      </w:r>
      <w:r>
        <w:rPr>
          <w:rFonts w:hint="eastAsia" w:ascii="宋体" w:hAnsi="宋体" w:eastAsia="宋体" w:cs="宋体"/>
          <w:color w:val="000000"/>
          <w:u w:val="single"/>
        </w:rPr>
        <w:t xml:space="preserve">     </w:t>
      </w:r>
      <w:r>
        <w:rPr>
          <w:rFonts w:hint="eastAsia" w:ascii="宋体" w:hAnsi="宋体" w:eastAsia="宋体" w:cs="宋体"/>
          <w:color w:val="000000"/>
        </w:rPr>
        <w:t xml:space="preserve">（自交货验收合格之日起计），因人为因素出现的故障不在免费保修范围内。超过保修期的机器设备，终生维修，维修时只收部件成本费。</w:t>
      </w:r>
      <w:r/>
    </w:p>
    <w:p>
      <w:pPr>
        <w:pStyle w:val="856"/>
        <w:ind w:left="0" w:right="0" w:firstLine="0"/>
        <w:jc w:val="both"/>
        <w:keepLines w:val="0"/>
        <w:keepNext w:val="0"/>
        <w:pageBreakBefore w:val="0"/>
        <w:spacing w:beforeAutospacing="0" w:afterAutospacing="0" w:line="480" w:lineRule="exact"/>
        <w:widowControl w:val="off"/>
      </w:pPr>
      <w:r>
        <w:rPr>
          <w:rFonts w:hint="eastAsia" w:ascii="宋体" w:hAnsi="宋体" w:eastAsia="宋体" w:cs="宋体"/>
          <w:b/>
          <w:color w:val="000000"/>
        </w:rPr>
        <w:t xml:space="preserve">十一、项目验收</w:t>
      </w:r>
      <w:r/>
    </w:p>
    <w:p>
      <w:pPr>
        <w:pStyle w:val="856"/>
        <w:ind w:left="0" w:right="0" w:firstLine="480"/>
        <w:jc w:val="both"/>
        <w:keepLines w:val="0"/>
        <w:keepNext w:val="0"/>
        <w:pageBreakBefore w:val="0"/>
        <w:spacing w:beforeAutospacing="0" w:afterAutospacing="0" w:line="480" w:lineRule="exact"/>
        <w:widowControl w:val="off"/>
      </w:pPr>
      <w:r>
        <w:rPr>
          <w:rFonts w:hint="eastAsia" w:ascii="宋体" w:hAnsi="宋体" w:eastAsia="宋体" w:cs="宋体"/>
          <w:color w:val="000000"/>
        </w:rPr>
        <w:t xml:space="preserve">11.1 甲方依法组织履约验收工作。</w:t>
      </w:r>
      <w:r/>
    </w:p>
    <w:p>
      <w:pPr>
        <w:pStyle w:val="856"/>
        <w:ind w:left="0" w:right="0" w:firstLine="480"/>
        <w:jc w:val="both"/>
        <w:keepLines w:val="0"/>
        <w:keepNext w:val="0"/>
        <w:pageBreakBefore w:val="0"/>
        <w:spacing w:beforeAutospacing="0" w:afterAutospacing="0" w:line="480" w:lineRule="exact"/>
        <w:widowControl w:val="off"/>
      </w:pPr>
      <w:r>
        <w:rPr>
          <w:rFonts w:hint="eastAsia" w:ascii="宋体" w:hAnsi="宋体" w:eastAsia="宋体" w:cs="宋体"/>
          <w:color w:val="000000"/>
        </w:rPr>
        <w:t xml:space="preserve">11.2 甲方在组织履约验收前，将根据项目特点制定验收方案，明确履约验收的时间、方式、程序等内容，并可根据项目特点对服务期内的服务实施情况进行分期考核，综合考核情况和服务效果进行验收。乙方应根据验收方案内容做好相应配合工作。</w:t>
      </w:r>
      <w:r/>
    </w:p>
    <w:p>
      <w:pPr>
        <w:pStyle w:val="856"/>
        <w:ind w:left="0" w:right="0" w:firstLine="480"/>
        <w:jc w:val="both"/>
        <w:keepLines w:val="0"/>
        <w:keepNext w:val="0"/>
        <w:pageBreakBefore w:val="0"/>
        <w:spacing w:beforeAutospacing="0" w:afterAutospacing="0" w:line="480" w:lineRule="exact"/>
        <w:widowControl w:val="off"/>
      </w:pPr>
      <w:r>
        <w:rPr>
          <w:rFonts w:hint="eastAsia" w:ascii="宋体" w:hAnsi="宋体" w:eastAsia="宋体" w:cs="宋体"/>
          <w:color w:val="000000"/>
        </w:rPr>
        <w:t xml:space="preserve">11.3 对于实际使用人和甲方分离的项目，甲方邀请实际使用人参与验收。</w:t>
      </w:r>
      <w:r/>
    </w:p>
    <w:p>
      <w:pPr>
        <w:pStyle w:val="856"/>
        <w:ind w:left="0" w:right="0" w:firstLine="480"/>
        <w:jc w:val="both"/>
        <w:keepLines w:val="0"/>
        <w:keepNext w:val="0"/>
        <w:pageBreakBefore w:val="0"/>
        <w:spacing w:beforeAutospacing="0" w:afterAutospacing="0" w:line="480" w:lineRule="exact"/>
        <w:widowControl w:val="off"/>
      </w:pPr>
      <w:r>
        <w:rPr>
          <w:rFonts w:hint="eastAsia" w:ascii="宋体" w:hAnsi="宋体" w:eastAsia="宋体" w:cs="宋体"/>
          <w:color w:val="000000"/>
        </w:rPr>
        <w:t xml:space="preserve">11.4 如有必要，甲方邀请参加本项目的其他供应商或第三方专业机构及专家参与验收，相关意见将作为验收书的参考资料。</w:t>
      </w:r>
      <w:r/>
    </w:p>
    <w:p>
      <w:pPr>
        <w:pStyle w:val="856"/>
        <w:ind w:left="0" w:right="0" w:firstLine="480"/>
        <w:jc w:val="both"/>
        <w:keepLines w:val="0"/>
        <w:keepNext w:val="0"/>
        <w:pageBreakBefore w:val="0"/>
        <w:spacing w:beforeAutospacing="0" w:afterAutospacing="0" w:line="480" w:lineRule="exact"/>
        <w:widowControl w:val="off"/>
      </w:pPr>
      <w:r>
        <w:rPr>
          <w:rFonts w:hint="eastAsia" w:ascii="宋体" w:hAnsi="宋体" w:eastAsia="宋体" w:cs="宋体"/>
          <w:color w:val="000000"/>
        </w:rPr>
        <w:t xml:space="preserve">11.5 甲方成立验收小组，按照采购合同的约定对乙方的履约情况进行验收。验收时间、验收标准见招标文件验收内容。验收时,甲方按照采购合同的约定对每一项技术、商务要求的履约情况进行确认。验收结束后,验收小组出具验收书,列明各项标准的验收情况及项目总体评价,由验收双方共同签署。验收结果与采购合同约定的资金支付及履约保证金返还条件挂钩。履约验收的各项资料存档备查。</w:t>
      </w:r>
      <w:r/>
    </w:p>
    <w:p>
      <w:pPr>
        <w:pStyle w:val="856"/>
        <w:ind w:left="0" w:right="0" w:firstLine="480"/>
        <w:jc w:val="both"/>
        <w:keepLines w:val="0"/>
        <w:keepNext w:val="0"/>
        <w:pageBreakBefore w:val="0"/>
        <w:spacing w:beforeAutospacing="0" w:afterAutospacing="0" w:line="480" w:lineRule="exact"/>
        <w:widowControl w:val="off"/>
      </w:pPr>
      <w:r>
        <w:rPr>
          <w:rFonts w:hint="eastAsia" w:ascii="宋体" w:hAnsi="宋体" w:eastAsia="宋体" w:cs="宋体"/>
          <w:color w:val="000000"/>
        </w:rPr>
        <w:t xml:space="preserve">11.6 验收合格的项目,甲方根据采购合同的约定及时向乙方支付合同款项、退还履约保证金。验收不合格的项目，甲方依法及时处理。采购合同的履行、违约责任和解决争议的方式等适用《民法典》。乙方在履约过程中有政府采购法律法规规定的违法违规情形的,甲方将及时报告本级财政部门。</w:t>
      </w:r>
      <w:r/>
    </w:p>
    <w:p>
      <w:pPr>
        <w:pStyle w:val="856"/>
        <w:ind w:left="0" w:right="0" w:firstLine="0"/>
        <w:jc w:val="both"/>
        <w:keepLines w:val="0"/>
        <w:keepNext w:val="0"/>
        <w:pageBreakBefore w:val="0"/>
        <w:spacing w:beforeAutospacing="0" w:afterAutospacing="0" w:line="480" w:lineRule="exact"/>
        <w:widowControl w:val="off"/>
      </w:pPr>
      <w:r>
        <w:rPr>
          <w:rFonts w:hint="eastAsia" w:ascii="宋体" w:hAnsi="宋体" w:eastAsia="宋体" w:cs="宋体"/>
          <w:b/>
          <w:color w:val="000000"/>
        </w:rPr>
        <w:t xml:space="preserve">十二、货物的包装、发运及运输</w:t>
      </w:r>
      <w:r/>
    </w:p>
    <w:p>
      <w:pPr>
        <w:pStyle w:val="856"/>
        <w:ind w:right="0" w:firstLine="480"/>
        <w:jc w:val="both"/>
        <w:keepLines w:val="0"/>
        <w:keepNext w:val="0"/>
        <w:pageBreakBefore w:val="0"/>
        <w:spacing w:beforeAutospacing="0" w:afterAutospacing="0" w:line="480" w:lineRule="exact"/>
        <w:widowControl w:val="off"/>
      </w:pPr>
      <w:r>
        <w:rPr>
          <w:rFonts w:hint="eastAsia" w:ascii="宋体" w:hAnsi="宋体" w:eastAsia="宋体" w:cs="宋体"/>
          <w:color w:val="000000"/>
        </w:rPr>
        <w:t xml:space="preserve">12.1 乙方应在货物发运前对其进行满足运输距离、防潮、防震、防锈和防破损装卸等要求包装，以保证货物安全运达甲方指定地点。</w:t>
      </w:r>
      <w:r>
        <w:rPr>
          <w:rFonts w:hint="eastAsia" w:ascii="宋体" w:hAnsi="宋体" w:eastAsia="宋体" w:cs="宋体"/>
          <w:color w:val="ff0000"/>
        </w:rPr>
        <w:t xml:space="preserve">乙方对货物的包装应符合《商品包装政府采购需求标准（试行）》、《快递包装政府采购需求标准（试行）》的规定。</w:t>
      </w:r>
      <w:r/>
    </w:p>
    <w:p>
      <w:pPr>
        <w:pStyle w:val="856"/>
        <w:ind w:right="0" w:firstLine="480"/>
        <w:jc w:val="both"/>
        <w:keepLines w:val="0"/>
        <w:keepNext w:val="0"/>
        <w:pageBreakBefore w:val="0"/>
        <w:spacing w:beforeAutospacing="0" w:afterAutospacing="0" w:line="480" w:lineRule="exact"/>
        <w:widowControl w:val="off"/>
      </w:pPr>
      <w:r>
        <w:rPr>
          <w:rFonts w:hint="eastAsia" w:ascii="宋体" w:hAnsi="宋体" w:eastAsia="宋体" w:cs="宋体"/>
          <w:color w:val="000000"/>
        </w:rPr>
        <w:t xml:space="preserve">12.2 使用说明书、质量检验证明书、随配附件和工具以及清单一并附于货物内。</w:t>
      </w:r>
      <w:r/>
    </w:p>
    <w:p>
      <w:pPr>
        <w:pStyle w:val="856"/>
        <w:ind w:right="0" w:firstLine="480"/>
        <w:jc w:val="both"/>
        <w:keepLines w:val="0"/>
        <w:keepNext w:val="0"/>
        <w:pageBreakBefore w:val="0"/>
        <w:spacing w:beforeAutospacing="0" w:afterAutospacing="0" w:line="480" w:lineRule="exact"/>
        <w:widowControl w:val="off"/>
      </w:pPr>
      <w:r>
        <w:rPr>
          <w:rFonts w:hint="eastAsia" w:ascii="宋体" w:hAnsi="宋体" w:eastAsia="宋体" w:cs="宋体"/>
          <w:color w:val="000000"/>
        </w:rPr>
        <w:t xml:space="preserve">12.3 乙方在货物发运手续办理完毕后24小时内或货到甲方48小时前通知甲方，以准备接货。</w:t>
      </w:r>
      <w:r/>
    </w:p>
    <w:p>
      <w:pPr>
        <w:pStyle w:val="856"/>
        <w:ind w:right="0" w:firstLine="480"/>
        <w:jc w:val="both"/>
        <w:keepLines w:val="0"/>
        <w:keepNext w:val="0"/>
        <w:pageBreakBefore w:val="0"/>
        <w:spacing w:beforeAutospacing="0" w:afterAutospacing="0" w:line="480" w:lineRule="exact"/>
        <w:widowControl w:val="off"/>
      </w:pPr>
      <w:r>
        <w:rPr>
          <w:rFonts w:hint="eastAsia" w:ascii="宋体" w:hAnsi="宋体" w:eastAsia="宋体" w:cs="宋体"/>
          <w:color w:val="000000"/>
        </w:rPr>
        <w:t xml:space="preserve">12.4 货物在交付甲方前发生的风险均由乙方负责。</w:t>
      </w:r>
      <w:r/>
    </w:p>
    <w:p>
      <w:pPr>
        <w:pStyle w:val="856"/>
        <w:ind w:right="0" w:firstLine="480"/>
        <w:jc w:val="both"/>
        <w:keepLines w:val="0"/>
        <w:keepNext w:val="0"/>
        <w:pageBreakBefore w:val="0"/>
        <w:spacing w:beforeAutospacing="0" w:afterAutospacing="0" w:line="480" w:lineRule="exact"/>
        <w:widowControl w:val="off"/>
      </w:pPr>
      <w:r>
        <w:rPr>
          <w:rFonts w:hint="eastAsia" w:ascii="宋体" w:hAnsi="宋体" w:eastAsia="宋体" w:cs="宋体"/>
          <w:color w:val="000000"/>
        </w:rPr>
        <w:t xml:space="preserve">12.5 货物在规定的交付期限内由乙方送达甲方指定的地点视为交付，乙方同时需通知甲方货物已送达。</w:t>
      </w:r>
      <w:r/>
    </w:p>
    <w:p>
      <w:pPr>
        <w:pStyle w:val="856"/>
        <w:ind w:left="0" w:right="0" w:firstLine="0"/>
        <w:jc w:val="both"/>
        <w:keepLines w:val="0"/>
        <w:keepNext w:val="0"/>
        <w:pageBreakBefore w:val="0"/>
        <w:spacing w:beforeAutospacing="0" w:afterAutospacing="0" w:line="480" w:lineRule="exact"/>
        <w:widowControl w:val="off"/>
      </w:pPr>
      <w:r>
        <w:rPr>
          <w:rFonts w:hint="eastAsia" w:ascii="宋体" w:hAnsi="宋体" w:eastAsia="宋体" w:cs="宋体"/>
          <w:b/>
          <w:color w:val="000000"/>
        </w:rPr>
        <w:t xml:space="preserve">十三、违约责任</w:t>
      </w:r>
      <w:r/>
    </w:p>
    <w:p>
      <w:pPr>
        <w:pStyle w:val="856"/>
        <w:ind w:right="0" w:firstLine="480"/>
        <w:jc w:val="both"/>
        <w:keepLines w:val="0"/>
        <w:keepNext w:val="0"/>
        <w:pageBreakBefore w:val="0"/>
        <w:spacing w:beforeAutospacing="0" w:afterAutospacing="0" w:line="480" w:lineRule="exact"/>
        <w:widowControl w:val="off"/>
      </w:pPr>
      <w:r>
        <w:rPr>
          <w:rFonts w:hint="eastAsia" w:ascii="宋体" w:hAnsi="宋体" w:eastAsia="宋体" w:cs="宋体"/>
          <w:color w:val="000000"/>
        </w:rPr>
        <w:t xml:space="preserve">13.1 甲方无正当理由拒收货物的，甲方向乙方偿付拒收货款总值</w:t>
      </w:r>
      <w:r>
        <w:rPr>
          <w:rFonts w:hint="eastAsia" w:ascii="宋体" w:hAnsi="宋体" w:eastAsia="宋体" w:cs="宋体"/>
          <w:color w:val="000000"/>
          <w:u w:val="single"/>
        </w:rPr>
        <w:t xml:space="preserve">    </w:t>
      </w:r>
      <w:r>
        <w:rPr>
          <w:rFonts w:hint="eastAsia" w:ascii="宋体" w:hAnsi="宋体" w:eastAsia="宋体" w:cs="宋体"/>
          <w:color w:val="000000"/>
        </w:rPr>
        <w:t xml:space="preserve">的违约金。</w:t>
      </w:r>
      <w:r/>
    </w:p>
    <w:p>
      <w:pPr>
        <w:pStyle w:val="856"/>
        <w:ind w:right="0" w:firstLine="480"/>
        <w:jc w:val="both"/>
        <w:keepLines w:val="0"/>
        <w:keepNext w:val="0"/>
        <w:pageBreakBefore w:val="0"/>
        <w:spacing w:beforeAutospacing="0" w:afterAutospacing="0" w:line="480" w:lineRule="exact"/>
        <w:widowControl w:val="off"/>
      </w:pPr>
      <w:r>
        <w:rPr>
          <w:rFonts w:hint="eastAsia" w:ascii="宋体" w:hAnsi="宋体" w:eastAsia="宋体" w:cs="宋体"/>
          <w:color w:val="000000"/>
        </w:rPr>
        <w:t xml:space="preserve">13.2 甲方无故逾期验收和办理货款支付手续的,甲方应按逾期付款总额每日</w:t>
      </w:r>
      <w:r>
        <w:rPr>
          <w:rFonts w:hint="eastAsia" w:ascii="宋体" w:hAnsi="宋体" w:eastAsia="宋体" w:cs="宋体"/>
          <w:color w:val="000000"/>
          <w:u w:val="single"/>
        </w:rPr>
        <w:t xml:space="preserve">    </w:t>
      </w:r>
      <w:r>
        <w:rPr>
          <w:rFonts w:hint="eastAsia" w:ascii="宋体" w:hAnsi="宋体" w:eastAsia="宋体" w:cs="宋体"/>
          <w:color w:val="000000"/>
        </w:rPr>
        <w:t xml:space="preserve">向乙方支付违约金。</w:t>
      </w:r>
      <w:r/>
    </w:p>
    <w:p>
      <w:pPr>
        <w:pStyle w:val="856"/>
        <w:ind w:right="0" w:firstLine="480"/>
        <w:jc w:val="both"/>
        <w:keepLines w:val="0"/>
        <w:keepNext w:val="0"/>
        <w:pageBreakBefore w:val="0"/>
        <w:spacing w:beforeAutospacing="0" w:afterAutospacing="0" w:line="480" w:lineRule="exact"/>
        <w:widowControl w:val="off"/>
      </w:pPr>
      <w:r>
        <w:rPr>
          <w:rFonts w:hint="eastAsia" w:ascii="宋体" w:hAnsi="宋体" w:eastAsia="宋体" w:cs="宋体"/>
          <w:color w:val="000000"/>
        </w:rPr>
        <w:t xml:space="preserve">13.3 乙方逾期交付货物的，乙方应按逾期交货总额每日千分之六向甲方支付违约金，由甲方从待付货款中扣除。逾期超过约定日期10个工作日不能交货的，甲方可解除本合同。乙方因逾期交货或因其他违约行为导致甲方解除合同的，乙方应向甲方支付合同总值</w:t>
      </w:r>
      <w:r>
        <w:rPr>
          <w:rFonts w:hint="eastAsia" w:ascii="宋体" w:hAnsi="宋体" w:eastAsia="宋体" w:cs="宋体"/>
          <w:color w:val="000000"/>
          <w:u w:val="single"/>
        </w:rPr>
        <w:t xml:space="preserve">    </w:t>
      </w:r>
      <w:r>
        <w:rPr>
          <w:rFonts w:hint="eastAsia" w:ascii="宋体" w:hAnsi="宋体" w:eastAsia="宋体" w:cs="宋体"/>
          <w:color w:val="000000"/>
        </w:rPr>
        <w:t xml:space="preserve">的违约金，如造成甲方损失超过违约金的，超出部分由乙方继续承担赔偿责任。 </w:t>
      </w:r>
      <w:r/>
    </w:p>
    <w:p>
      <w:pPr>
        <w:pStyle w:val="856"/>
        <w:ind w:right="0" w:firstLine="480"/>
        <w:jc w:val="both"/>
        <w:keepLines w:val="0"/>
        <w:keepNext w:val="0"/>
        <w:pageBreakBefore w:val="0"/>
        <w:spacing w:beforeAutospacing="0" w:afterAutospacing="0" w:line="480" w:lineRule="exact"/>
        <w:widowControl w:val="off"/>
      </w:pPr>
      <w:r>
        <w:rPr>
          <w:rFonts w:hint="eastAsia" w:ascii="宋体" w:hAnsi="宋体" w:eastAsia="宋体" w:cs="宋体"/>
          <w:color w:val="000000"/>
        </w:rPr>
        <w:t xml:space="preserve">13.4 乙方所交的货物品种、型号、规格、技术参数、质量不符合合同规定及招标文件规定标准的，甲方有权拒收该货物，乙方愿意更换货物但逾期交货的，按乙方逾期交货处理。乙方拒绝更换货物的，甲方可单方面解除合同。</w:t>
      </w:r>
      <w:r/>
    </w:p>
    <w:p>
      <w:pPr>
        <w:pStyle w:val="856"/>
        <w:ind w:left="0" w:right="0" w:firstLine="0"/>
        <w:jc w:val="both"/>
        <w:keepLines w:val="0"/>
        <w:keepNext w:val="0"/>
        <w:pageBreakBefore w:val="0"/>
        <w:spacing w:beforeAutospacing="0" w:afterAutospacing="0" w:line="480" w:lineRule="exact"/>
        <w:widowControl w:val="off"/>
      </w:pPr>
      <w:r>
        <w:rPr>
          <w:rFonts w:hint="eastAsia" w:ascii="宋体" w:hAnsi="宋体" w:eastAsia="宋体" w:cs="宋体"/>
          <w:b/>
          <w:color w:val="000000"/>
        </w:rPr>
        <w:t xml:space="preserve">十四、不可抗力事件处理</w:t>
      </w:r>
      <w:r/>
    </w:p>
    <w:p>
      <w:pPr>
        <w:pStyle w:val="856"/>
        <w:ind w:right="0" w:firstLine="480"/>
        <w:jc w:val="both"/>
        <w:keepLines w:val="0"/>
        <w:keepNext w:val="0"/>
        <w:pageBreakBefore w:val="0"/>
        <w:spacing w:beforeAutospacing="0" w:afterAutospacing="0" w:line="480" w:lineRule="exact"/>
        <w:widowControl w:val="off"/>
      </w:pPr>
      <w:r>
        <w:rPr>
          <w:rFonts w:hint="eastAsia" w:ascii="宋体" w:hAnsi="宋体" w:eastAsia="宋体" w:cs="宋体"/>
          <w:color w:val="000000"/>
        </w:rPr>
        <w:t xml:space="preserve">14.1 在合同有效期内，任何一方因不可抗力事件导致不能履行合同，则合同履行期可延长，其延长期与不可抗力影响期相同。</w:t>
      </w:r>
      <w:r/>
    </w:p>
    <w:p>
      <w:pPr>
        <w:pStyle w:val="856"/>
        <w:ind w:left="0" w:right="0" w:firstLine="480"/>
        <w:jc w:val="both"/>
        <w:keepLines w:val="0"/>
        <w:keepNext w:val="0"/>
        <w:pageBreakBefore w:val="0"/>
        <w:spacing w:beforeAutospacing="0" w:afterAutospacing="0" w:line="480" w:lineRule="exact"/>
        <w:widowControl w:val="off"/>
      </w:pPr>
      <w:r>
        <w:rPr>
          <w:rFonts w:hint="eastAsia" w:ascii="宋体" w:hAnsi="宋体" w:eastAsia="宋体" w:cs="宋体"/>
          <w:color w:val="000000"/>
        </w:rPr>
        <w:t xml:space="preserve">14.2 不可抗力事件发生后，应立即通知对方，并寄送有关权威机构出具的证明。</w:t>
      </w:r>
      <w:r/>
    </w:p>
    <w:p>
      <w:pPr>
        <w:pStyle w:val="856"/>
        <w:ind w:left="0" w:right="0" w:firstLine="480"/>
        <w:jc w:val="both"/>
        <w:keepLines w:val="0"/>
        <w:keepNext w:val="0"/>
        <w:pageBreakBefore w:val="0"/>
        <w:spacing w:beforeAutospacing="0" w:afterAutospacing="0" w:line="480" w:lineRule="exact"/>
        <w:widowControl w:val="off"/>
      </w:pPr>
      <w:r>
        <w:rPr>
          <w:rFonts w:hint="eastAsia" w:ascii="宋体" w:hAnsi="宋体" w:eastAsia="宋体" w:cs="宋体"/>
          <w:color w:val="000000"/>
        </w:rPr>
        <w:t xml:space="preserve">14.3 不可抗力事件延续120天以上，双方应通过友好协商，确定是否继续履行合同。</w:t>
      </w:r>
      <w:r/>
    </w:p>
    <w:p>
      <w:pPr>
        <w:pStyle w:val="856"/>
        <w:ind w:left="0" w:right="0" w:firstLine="0"/>
        <w:jc w:val="both"/>
        <w:keepLines w:val="0"/>
        <w:keepNext w:val="0"/>
        <w:pageBreakBefore w:val="0"/>
        <w:spacing w:beforeAutospacing="0" w:afterAutospacing="0" w:line="480" w:lineRule="exact"/>
        <w:widowControl w:val="off"/>
      </w:pPr>
      <w:r>
        <w:rPr>
          <w:rFonts w:hint="eastAsia" w:ascii="宋体" w:hAnsi="宋体" w:eastAsia="宋体" w:cs="宋体"/>
          <w:b/>
          <w:color w:val="000000"/>
        </w:rPr>
        <w:t xml:space="preserve">十五、解决争议的方法</w:t>
      </w:r>
      <w:r/>
    </w:p>
    <w:p>
      <w:pPr>
        <w:pStyle w:val="856"/>
        <w:ind w:right="0" w:firstLine="480"/>
        <w:jc w:val="both"/>
        <w:keepLines w:val="0"/>
        <w:keepNext w:val="0"/>
        <w:pageBreakBefore w:val="0"/>
        <w:spacing w:beforeAutospacing="0" w:afterAutospacing="0" w:line="480" w:lineRule="exact"/>
        <w:widowControl w:val="off"/>
      </w:pPr>
      <w:r>
        <w:rPr>
          <w:rFonts w:hint="eastAsia" w:ascii="宋体" w:hAnsi="宋体" w:eastAsia="宋体" w:cs="宋体"/>
          <w:color w:val="000000"/>
        </w:rPr>
        <w:t xml:space="preserve">15.1甲乙双方因合同签订、履行而发生的一切争议，应通过友好协商解决。如协商不成由甲方住所地人民法院管辖。</w:t>
      </w:r>
      <w:r/>
    </w:p>
    <w:p>
      <w:pPr>
        <w:pStyle w:val="856"/>
        <w:ind w:left="0" w:right="0" w:firstLine="0"/>
        <w:jc w:val="both"/>
        <w:keepLines w:val="0"/>
        <w:keepNext w:val="0"/>
        <w:pageBreakBefore w:val="0"/>
        <w:spacing w:beforeAutospacing="0" w:afterAutospacing="0" w:line="480" w:lineRule="exact"/>
        <w:widowControl w:val="off"/>
      </w:pPr>
      <w:r>
        <w:rPr>
          <w:rFonts w:hint="eastAsia" w:ascii="宋体" w:hAnsi="宋体" w:eastAsia="宋体" w:cs="宋体"/>
          <w:b/>
          <w:color w:val="000000"/>
        </w:rPr>
        <w:t xml:space="preserve">十六、合同生效及其它</w:t>
      </w:r>
      <w:r/>
    </w:p>
    <w:p>
      <w:pPr>
        <w:pStyle w:val="856"/>
        <w:ind w:left="0" w:right="0" w:firstLine="480"/>
        <w:jc w:val="both"/>
        <w:keepLines w:val="0"/>
        <w:keepNext w:val="0"/>
        <w:pageBreakBefore w:val="0"/>
        <w:spacing w:beforeAutospacing="0" w:afterAutospacing="0" w:line="480" w:lineRule="exact"/>
        <w:widowControl w:val="off"/>
      </w:pPr>
      <w:r>
        <w:rPr>
          <w:rFonts w:hint="eastAsia" w:ascii="宋体" w:hAnsi="宋体" w:eastAsia="宋体" w:cs="宋体"/>
          <w:color w:val="000000"/>
        </w:rPr>
        <w:t xml:space="preserve">16.1 合同经双方法定代表人或授权委托代表人签字并加盖单位公章后生效。</w:t>
      </w:r>
      <w:r/>
    </w:p>
    <w:p>
      <w:pPr>
        <w:pStyle w:val="856"/>
        <w:ind w:left="0" w:right="0" w:firstLine="480"/>
        <w:jc w:val="both"/>
        <w:keepLines w:val="0"/>
        <w:keepNext w:val="0"/>
        <w:pageBreakBefore w:val="0"/>
        <w:spacing w:beforeAutospacing="0" w:afterAutospacing="0" w:line="480" w:lineRule="exact"/>
        <w:widowControl w:val="off"/>
      </w:pPr>
      <w:r>
        <w:rPr>
          <w:rFonts w:hint="eastAsia" w:ascii="宋体" w:hAnsi="宋体" w:eastAsia="宋体" w:cs="宋体"/>
          <w:color w:val="000000"/>
        </w:rPr>
        <w:t xml:space="preserve">16.2本合同未尽事宜，遵照《民法典》、《政府采购法》有关条文执行。</w:t>
      </w:r>
      <w:r/>
    </w:p>
    <w:p>
      <w:pPr>
        <w:pStyle w:val="856"/>
        <w:ind w:right="0" w:firstLine="480"/>
        <w:jc w:val="both"/>
        <w:keepLines w:val="0"/>
        <w:keepNext w:val="0"/>
        <w:pageBreakBefore w:val="0"/>
        <w:spacing w:beforeAutospacing="0" w:afterAutospacing="0" w:line="480" w:lineRule="exact"/>
        <w:widowControl w:val="off"/>
      </w:pPr>
      <w:r>
        <w:rPr>
          <w:rFonts w:hint="eastAsia" w:ascii="宋体" w:hAnsi="宋体" w:eastAsia="宋体" w:cs="宋体"/>
          <w:color w:val="000000"/>
        </w:rPr>
        <w:t xml:space="preserve">16.3 本合同正本一式两份，具有同等法律效力，甲方、乙方各执一份。</w:t>
      </w:r>
      <w:r/>
    </w:p>
    <w:p>
      <w:pPr>
        <w:pStyle w:val="856"/>
        <w:ind w:right="0" w:firstLine="0"/>
        <w:jc w:val="both"/>
        <w:keepLines w:val="0"/>
        <w:keepNext w:val="0"/>
        <w:pageBreakBefore w:val="0"/>
        <w:spacing w:beforeAutospacing="0" w:afterAutospacing="0" w:line="480" w:lineRule="exact"/>
        <w:widowControl w:val="off"/>
        <w:rPr>
          <w:rFonts w:hint="eastAsia" w:ascii="宋体" w:hAnsi="宋体" w:eastAsia="宋体" w:cs="宋体"/>
          <w:color w:val="000000"/>
        </w:rPr>
      </w:pPr>
      <w:r>
        <w:rPr>
          <w:rFonts w:hint="eastAsia" w:ascii="宋体" w:hAnsi="宋体" w:eastAsia="宋体" w:cs="宋体"/>
          <w:color w:val="000000"/>
        </w:rPr>
      </w:r>
      <w:r/>
    </w:p>
    <w:p>
      <w:pPr>
        <w:pStyle w:val="856"/>
        <w:ind w:right="0" w:firstLine="480"/>
        <w:jc w:val="both"/>
        <w:keepLines w:val="0"/>
        <w:keepNext w:val="0"/>
        <w:pageBreakBefore w:val="0"/>
        <w:spacing w:beforeAutospacing="0" w:afterAutospacing="0" w:line="480" w:lineRule="exact"/>
        <w:widowControl w:val="off"/>
        <w:rPr>
          <w:rFonts w:hint="eastAsia" w:ascii="宋体" w:hAnsi="宋体" w:eastAsia="宋体" w:cs="宋体"/>
          <w:color w:val="000000"/>
        </w:rPr>
      </w:pPr>
      <w:r>
        <w:rPr>
          <w:rFonts w:hint="eastAsia" w:ascii="宋体" w:hAnsi="宋体" w:eastAsia="宋体" w:cs="宋体"/>
          <w:color w:val="000000"/>
        </w:rPr>
        <w:t xml:space="preserve">甲方：                乙方：  </w:t>
      </w:r>
      <w:r/>
    </w:p>
    <w:p>
      <w:pPr>
        <w:pStyle w:val="856"/>
        <w:ind w:left="0" w:right="0" w:firstLine="480"/>
        <w:jc w:val="both"/>
        <w:keepLines w:val="0"/>
        <w:keepNext w:val="0"/>
        <w:pageBreakBefore w:val="0"/>
        <w:spacing w:beforeAutospacing="0" w:afterAutospacing="0" w:line="480" w:lineRule="exact"/>
        <w:widowControl w:val="off"/>
      </w:pPr>
      <w:r>
        <w:rPr>
          <w:rFonts w:hint="eastAsia" w:ascii="宋体" w:hAnsi="宋体" w:eastAsia="宋体" w:cs="宋体"/>
          <w:color w:val="000000"/>
        </w:rPr>
        <w:t xml:space="preserve">地址：                </w:t>
      </w:r>
      <w:r>
        <w:rPr>
          <w:rFonts w:hint="eastAsia" w:ascii="宋体" w:hAnsi="宋体" w:eastAsia="宋体" w:cs="宋体"/>
          <w:color w:val="000000"/>
          <w:lang w:val="en-US" w:eastAsia="zh-CN"/>
        </w:rPr>
        <w:t xml:space="preserve"> </w:t>
      </w:r>
      <w:r>
        <w:rPr>
          <w:rFonts w:hint="eastAsia" w:ascii="宋体" w:hAnsi="宋体" w:eastAsia="宋体" w:cs="宋体"/>
          <w:color w:val="000000"/>
        </w:rPr>
        <w:t xml:space="preserve">地址： </w:t>
      </w:r>
      <w:r/>
    </w:p>
    <w:p>
      <w:pPr>
        <w:pStyle w:val="856"/>
        <w:ind w:right="0" w:firstLine="480"/>
        <w:jc w:val="both"/>
        <w:keepLines w:val="0"/>
        <w:keepNext w:val="0"/>
        <w:pageBreakBefore w:val="0"/>
        <w:spacing w:beforeAutospacing="0" w:afterAutospacing="0" w:line="480" w:lineRule="exact"/>
        <w:widowControl w:val="off"/>
      </w:pPr>
      <w:r>
        <w:rPr>
          <w:rFonts w:hint="eastAsia" w:ascii="宋体" w:hAnsi="宋体" w:eastAsia="宋体" w:cs="宋体"/>
          <w:color w:val="000000"/>
        </w:rPr>
        <w:t xml:space="preserve">法定代表人或授权代表：      </w:t>
      </w:r>
      <w:r>
        <w:rPr>
          <w:rFonts w:hint="eastAsia" w:eastAsia="宋体" w:cs="宋体"/>
          <w:color w:val="000000"/>
          <w:lang w:val="en-US" w:eastAsia="zh-CN"/>
        </w:rPr>
        <w:t xml:space="preserve">  </w:t>
      </w:r>
      <w:r>
        <w:rPr>
          <w:rFonts w:hint="eastAsia" w:ascii="宋体" w:hAnsi="宋体" w:eastAsia="宋体" w:cs="宋体"/>
          <w:color w:val="000000"/>
        </w:rPr>
        <w:t xml:space="preserve"> 法定代表人或授权代表：</w:t>
      </w:r>
      <w:r/>
    </w:p>
    <w:p>
      <w:pPr>
        <w:pStyle w:val="856"/>
        <w:ind w:right="0" w:firstLine="480"/>
        <w:jc w:val="both"/>
        <w:keepLines w:val="0"/>
        <w:keepNext w:val="0"/>
        <w:pageBreakBefore w:val="0"/>
        <w:spacing w:beforeAutospacing="0" w:afterAutospacing="0" w:line="480" w:lineRule="exact"/>
        <w:widowControl w:val="off"/>
      </w:pPr>
      <w:r>
        <w:rPr>
          <w:rFonts w:hint="eastAsia" w:ascii="宋体" w:hAnsi="宋体" w:eastAsia="宋体" w:cs="宋体"/>
          <w:color w:val="000000"/>
        </w:rPr>
        <w:t xml:space="preserve">联系电话：            </w:t>
      </w:r>
      <w:r>
        <w:rPr>
          <w:rFonts w:hint="eastAsia" w:eastAsia="宋体" w:cs="宋体"/>
          <w:color w:val="000000"/>
          <w:lang w:val="en-US" w:eastAsia="zh-CN"/>
        </w:rPr>
        <w:t xml:space="preserve">   </w:t>
      </w:r>
      <w:r>
        <w:rPr>
          <w:rFonts w:hint="eastAsia" w:ascii="宋体" w:hAnsi="宋体" w:eastAsia="宋体" w:cs="宋体"/>
          <w:color w:val="000000"/>
        </w:rPr>
        <w:t xml:space="preserve"> 联系电话：          </w:t>
      </w:r>
      <w:r/>
    </w:p>
    <w:p>
      <w:pPr>
        <w:pStyle w:val="856"/>
        <w:ind w:left="0" w:right="0" w:firstLine="0"/>
        <w:jc w:val="center"/>
        <w:keepLines w:val="0"/>
        <w:keepNext w:val="0"/>
        <w:pageBreakBefore w:val="0"/>
        <w:spacing w:beforeAutospacing="0" w:afterAutospacing="0" w:line="480" w:lineRule="exact"/>
        <w:widowControl w:val="off"/>
      </w:pPr>
      <w:r>
        <w:rPr>
          <w:rFonts w:hint="eastAsia" w:ascii="宋体" w:hAnsi="宋体" w:eastAsia="宋体" w:cs="宋体"/>
          <w:color w:val="000000"/>
          <w:sz w:val="21"/>
          <w:szCs w:val="21"/>
        </w:rPr>
        <w:t xml:space="preserve">                 </w:t>
      </w:r>
      <w:r>
        <w:rPr>
          <w:rFonts w:hint="eastAsia" w:ascii="宋体" w:hAnsi="宋体" w:eastAsia="宋体" w:cs="宋体"/>
          <w:color w:val="000000"/>
        </w:rPr>
        <w:t xml:space="preserve">   </w:t>
      </w:r>
      <w:r/>
    </w:p>
    <w:p>
      <w:pPr>
        <w:pStyle w:val="856"/>
        <w:ind w:left="0" w:right="0" w:firstLine="0"/>
        <w:jc w:val="center"/>
        <w:keepLines w:val="0"/>
        <w:keepNext w:val="0"/>
        <w:pageBreakBefore w:val="0"/>
        <w:spacing w:beforeAutospacing="0" w:afterAutospacing="0" w:line="480" w:lineRule="exact"/>
        <w:widowControl w:val="off"/>
      </w:pPr>
      <w:r>
        <w:t xml:space="preserve"> </w:t>
      </w:r>
      <w:r/>
    </w:p>
    <w:p>
      <w:pPr>
        <w:pStyle w:val="856"/>
        <w:jc w:val="center"/>
        <w:keepLines w:val="0"/>
        <w:keepNext w:val="0"/>
        <w:pageBreakBefore w:val="0"/>
        <w:spacing w:beforeAutospacing="0" w:afterAutospacing="0" w:line="480" w:lineRule="exact"/>
        <w:widowControl w:val="off"/>
        <w:rPr>
          <w:highlight w:val="none"/>
        </w:rPr>
      </w:pPr>
      <w:r>
        <w:rPr>
          <w:rFonts w:hint="eastAsia" w:ascii="宋体" w:hAnsi="宋体" w:eastAsia="宋体" w:cs="宋体"/>
          <w:b w:val="0"/>
          <w:bCs/>
          <w:color w:val="000000"/>
          <w:sz w:val="24"/>
          <w:szCs w:val="24"/>
          <w:lang w:val="en-US" w:eastAsia="zh-CN"/>
        </w:rPr>
        <w:t xml:space="preserve">                               </w:t>
      </w:r>
      <w:r>
        <w:rPr>
          <w:rFonts w:hint="eastAsia" w:ascii="宋体" w:hAnsi="宋体" w:eastAsia="宋体" w:cs="宋体"/>
          <w:b w:val="0"/>
          <w:bCs/>
          <w:color w:val="000000"/>
          <w:sz w:val="24"/>
          <w:szCs w:val="24"/>
        </w:rPr>
        <w:t xml:space="preserve">签订日期：      年    月   日</w:t>
      </w:r>
      <w:r>
        <w:rPr>
          <w:rFonts w:hint="eastAsia" w:ascii="黑体" w:hAnsi="宋体" w:eastAsia="黑体" w:cs="黑体"/>
          <w:b w:val="0"/>
          <w:bCs/>
          <w:color w:val="000000"/>
          <w:sz w:val="24"/>
          <w:szCs w:val="24"/>
        </w:rPr>
        <w:br w:type="page" w:clear="all"/>
      </w:r>
      <w:r>
        <w:rPr>
          <w:rFonts w:hint="eastAsia" w:ascii="黑体" w:hAnsi="宋体" w:eastAsia="黑体" w:cs="黑体"/>
          <w:color w:val="000000"/>
          <w:sz w:val="44"/>
          <w:szCs w:val="44"/>
          <w:highlight w:val="none"/>
        </w:rPr>
        <w:t xml:space="preserve">第</w:t>
      </w:r>
      <w:bookmarkEnd w:id="160"/>
      <w:r>
        <w:rPr>
          <w:rFonts w:hint="eastAsia" w:ascii="黑体" w:hAnsi="宋体" w:eastAsia="黑体" w:cs="黑体"/>
          <w:color w:val="000000"/>
          <w:sz w:val="44"/>
          <w:szCs w:val="44"/>
          <w:highlight w:val="none"/>
        </w:rPr>
        <w:t xml:space="preserve">四章 采购需求</w:t>
      </w:r>
      <w:bookmarkEnd w:id="161"/>
      <w:r/>
      <w:bookmarkEnd w:id="162"/>
      <w:r/>
      <w:bookmarkEnd w:id="163"/>
      <w:r/>
      <w:bookmarkEnd w:id="164"/>
      <w:r/>
      <w:bookmarkEnd w:id="165"/>
      <w:r/>
      <w:r/>
    </w:p>
    <w:p>
      <w:pPr>
        <w:pStyle w:val="856"/>
        <w:ind w:firstLine="482"/>
        <w:jc w:val="both"/>
        <w:spacing w:before="156" w:beforeAutospacing="0" w:after="156" w:afterAutospacing="0"/>
        <w:rPr>
          <w:rFonts w:hint="eastAsia" w:ascii="宋体" w:hAnsi="宋体" w:eastAsia="宋体" w:cs="宋体"/>
          <w:color w:val="000000"/>
        </w:rPr>
      </w:pPr>
      <w:r/>
      <w:bookmarkStart w:id="170" w:name="_Toc26554093"/>
      <w:r/>
      <w:bookmarkStart w:id="171" w:name="_Toc49090575"/>
      <w:r/>
      <w:bookmarkStart w:id="172" w:name="_Toc120614281"/>
      <w:r>
        <w:rPr>
          <w:rFonts w:hint="eastAsia" w:ascii="宋体" w:hAnsi="宋体" w:eastAsia="宋体" w:cs="宋体"/>
          <w:color w:val="000000"/>
        </w:rPr>
        <w:t xml:space="preserve">项目属性:货物类项目。</w:t>
      </w:r>
      <w:bookmarkEnd w:id="170"/>
      <w:r/>
      <w:bookmarkEnd w:id="171"/>
      <w:r/>
      <w:r/>
    </w:p>
    <w:p>
      <w:pPr>
        <w:spacing w:line="500" w:lineRule="atLeast"/>
        <w:rPr>
          <w:rFonts w:hint="eastAsia" w:ascii="宋体" w:hAnsi="宋体" w:eastAsia="宋体"/>
          <w:b/>
          <w:bCs/>
          <w:sz w:val="24"/>
          <w:szCs w:val="24"/>
        </w:rPr>
        <w:outlineLvl w:val="1"/>
      </w:pPr>
      <w:r/>
      <w:bookmarkStart w:id="173" w:name="_Toc167979697"/>
      <w:r/>
      <w:bookmarkStart w:id="174" w:name="_Toc167979424"/>
      <w:r>
        <w:rPr>
          <w:rFonts w:hint="eastAsia" w:ascii="宋体" w:hAnsi="宋体" w:eastAsia="宋体"/>
          <w:b/>
          <w:bCs/>
          <w:sz w:val="24"/>
          <w:szCs w:val="24"/>
        </w:rPr>
        <w:t xml:space="preserve">一、项目要求</w:t>
      </w:r>
      <w:bookmarkEnd w:id="173"/>
      <w:r/>
      <w:bookmarkEnd w:id="174"/>
      <w:r/>
      <w:r/>
    </w:p>
    <w:p>
      <w:pPr>
        <w:ind w:firstLine="480"/>
        <w:spacing w:line="500" w:lineRule="atLeast"/>
        <w:rPr>
          <w:rFonts w:hint="eastAsia" w:ascii="宋体" w:hAnsi="宋体" w:eastAsia="宋体"/>
          <w:sz w:val="24"/>
          <w:szCs w:val="24"/>
        </w:rPr>
      </w:pPr>
      <w:r>
        <w:rPr>
          <w:rFonts w:hint="eastAsia" w:ascii="宋体" w:hAnsi="宋体" w:eastAsia="宋体"/>
          <w:sz w:val="24"/>
          <w:szCs w:val="24"/>
        </w:rPr>
        <w:t xml:space="preserve">1.</w:t>
      </w:r>
      <w:r>
        <w:rPr>
          <w:rFonts w:ascii="宋体" w:hAnsi="宋体" w:eastAsia="宋体"/>
          <w:sz w:val="24"/>
          <w:szCs w:val="24"/>
        </w:rPr>
        <w:t xml:space="preserve">供货期：</w:t>
      </w:r>
      <w:r>
        <w:rPr>
          <w:rFonts w:hint="eastAsia" w:ascii="宋体" w:hAnsi="宋体" w:eastAsia="宋体" w:cs="宋体"/>
          <w:color w:val="000000"/>
          <w:sz w:val="24"/>
          <w:szCs w:val="24"/>
        </w:rPr>
        <w:t xml:space="preserve">合同签订后30日内供货到采购人指定地点，安装调试完毕并经采购人验收合格。</w:t>
      </w:r>
      <w:r/>
    </w:p>
    <w:p>
      <w:pPr>
        <w:ind w:firstLine="480"/>
        <w:spacing w:line="500" w:lineRule="atLeast"/>
        <w:rPr>
          <w:rFonts w:hint="eastAsia" w:ascii="宋体" w:hAnsi="宋体" w:eastAsia="宋体"/>
          <w:sz w:val="24"/>
          <w:szCs w:val="24"/>
        </w:rPr>
      </w:pPr>
      <w:r>
        <w:rPr>
          <w:rFonts w:hint="eastAsia" w:ascii="宋体" w:hAnsi="宋体" w:eastAsia="宋体"/>
          <w:sz w:val="24"/>
          <w:szCs w:val="24"/>
        </w:rPr>
        <w:t xml:space="preserve">2.项目</w:t>
      </w:r>
      <w:r>
        <w:rPr>
          <w:rFonts w:ascii="宋体" w:hAnsi="宋体" w:eastAsia="宋体"/>
          <w:sz w:val="24"/>
          <w:szCs w:val="24"/>
        </w:rPr>
        <w:t xml:space="preserve">如涉及市政、市容、环保、交通、防火、劳动保护及施工质量、安全等发生的费用均由中标供应商承担。发生安全事故，责任均由中标供应商负责。</w:t>
      </w:r>
      <w:r/>
    </w:p>
    <w:p>
      <w:pPr>
        <w:ind w:firstLine="480"/>
        <w:spacing w:line="500" w:lineRule="atLeast"/>
        <w:rPr>
          <w:rFonts w:hint="eastAsia" w:ascii="宋体" w:hAnsi="宋体" w:eastAsia="宋体"/>
          <w:sz w:val="24"/>
          <w:szCs w:val="24"/>
        </w:rPr>
      </w:pPr>
      <w:r>
        <w:rPr>
          <w:rFonts w:hint="eastAsia" w:ascii="宋体" w:hAnsi="宋体" w:eastAsia="宋体"/>
          <w:sz w:val="24"/>
          <w:szCs w:val="24"/>
        </w:rPr>
        <w:t xml:space="preserve">3.项目</w:t>
      </w:r>
      <w:r>
        <w:rPr>
          <w:rFonts w:ascii="宋体" w:hAnsi="宋体" w:eastAsia="宋体"/>
          <w:sz w:val="24"/>
          <w:szCs w:val="24"/>
        </w:rPr>
        <w:t xml:space="preserve">质量必须达到国家有关标准等相关国家规范的规定。</w:t>
      </w:r>
      <w:r/>
    </w:p>
    <w:p>
      <w:pPr>
        <w:ind w:firstLine="480"/>
        <w:spacing w:line="500" w:lineRule="atLeast"/>
        <w:rPr>
          <w:rFonts w:hint="eastAsia" w:ascii="宋体" w:hAnsi="宋体" w:eastAsia="宋体"/>
          <w:sz w:val="24"/>
          <w:szCs w:val="24"/>
        </w:rPr>
      </w:pPr>
      <w:r>
        <w:rPr>
          <w:rFonts w:hint="eastAsia" w:ascii="宋体" w:hAnsi="宋体" w:eastAsia="宋体"/>
          <w:sz w:val="24"/>
          <w:szCs w:val="24"/>
        </w:rPr>
        <w:t xml:space="preserve">4.</w:t>
      </w:r>
      <w:r>
        <w:rPr>
          <w:rFonts w:ascii="宋体" w:hAnsi="宋体" w:eastAsia="宋体"/>
          <w:sz w:val="24"/>
          <w:szCs w:val="24"/>
        </w:rPr>
        <w:t xml:space="preserve">供应商在编制文件过程中有疑问的可以到现场进行考察，以确保报价准确</w:t>
      </w:r>
      <w:r>
        <w:rPr>
          <w:rFonts w:hint="eastAsia" w:ascii="宋体" w:hAnsi="宋体" w:eastAsia="宋体"/>
          <w:sz w:val="24"/>
          <w:szCs w:val="24"/>
        </w:rPr>
        <w:t xml:space="preserve">。如需现场考察，供应商需向招标代理单位先行申请，由招标代理单位统一组织到招标单位进行现场查看（进入现场需签署保密协议），招标代理单位需做好台账记录及相关措施。招标人对投标人未了解安装现场，仅凭招标文件而由此作出的推论、解释和结论概不负责。</w:t>
      </w:r>
      <w:r/>
    </w:p>
    <w:p>
      <w:pPr>
        <w:ind w:firstLine="480"/>
        <w:spacing w:line="500" w:lineRule="atLeast"/>
        <w:rPr>
          <w:rFonts w:hint="eastAsia" w:ascii="宋体" w:hAnsi="宋体" w:eastAsia="宋体"/>
          <w:sz w:val="24"/>
          <w:szCs w:val="24"/>
        </w:rPr>
      </w:pPr>
      <w:r>
        <w:rPr>
          <w:rFonts w:hint="eastAsia" w:ascii="宋体" w:hAnsi="宋体" w:eastAsia="宋体"/>
          <w:sz w:val="24"/>
          <w:szCs w:val="24"/>
        </w:rPr>
        <w:t xml:space="preserve">5</w:t>
      </w:r>
      <w:r>
        <w:rPr>
          <w:rFonts w:ascii="宋体" w:hAnsi="宋体" w:eastAsia="宋体"/>
          <w:sz w:val="24"/>
          <w:szCs w:val="24"/>
        </w:rPr>
        <w:t xml:space="preserve">.本次采购为交钥匙</w:t>
      </w:r>
      <w:r>
        <w:rPr>
          <w:rFonts w:hint="eastAsia" w:ascii="宋体" w:hAnsi="宋体" w:eastAsia="宋体"/>
          <w:sz w:val="24"/>
          <w:szCs w:val="24"/>
          <w:lang w:eastAsia="zh-CN"/>
        </w:rPr>
        <w:t xml:space="preserve">项目</w:t>
      </w:r>
      <w:r>
        <w:rPr>
          <w:rFonts w:ascii="宋体" w:hAnsi="宋体" w:eastAsia="宋体"/>
          <w:sz w:val="24"/>
          <w:szCs w:val="24"/>
        </w:rPr>
        <w:t xml:space="preserve">，项目各系统中所需设备拆除（如有）、采购、运输装卸、安装调试、验收、整个设备正常可靠运行所必须的各项测试费及伴随服务费用等均包含在报价内；请各投标人认真考虑其各种风险。除合同另有规定之外，采购人不再另行支付。</w:t>
      </w:r>
      <w:r/>
    </w:p>
    <w:p>
      <w:pPr>
        <w:ind w:firstLine="480"/>
        <w:spacing w:line="500" w:lineRule="atLeast"/>
        <w:rPr>
          <w:rFonts w:hint="eastAsia" w:ascii="宋体" w:hAnsi="宋体" w:eastAsia="宋体"/>
          <w:sz w:val="24"/>
          <w:szCs w:val="24"/>
        </w:rPr>
      </w:pPr>
      <w:r>
        <w:rPr>
          <w:rFonts w:hint="eastAsia" w:ascii="宋体" w:hAnsi="宋体" w:eastAsia="宋体"/>
          <w:sz w:val="24"/>
          <w:szCs w:val="24"/>
        </w:rPr>
        <w:t xml:space="preserve">6.</w:t>
      </w:r>
      <w:r>
        <w:rPr>
          <w:rFonts w:ascii="宋体" w:hAnsi="宋体" w:eastAsia="宋体"/>
          <w:sz w:val="24"/>
          <w:szCs w:val="24"/>
        </w:rPr>
        <w:t xml:space="preserve">如中标供应商在本项目</w:t>
      </w:r>
      <w:r>
        <w:rPr>
          <w:rFonts w:hint="eastAsia" w:ascii="宋体" w:hAnsi="宋体" w:eastAsia="宋体"/>
          <w:sz w:val="24"/>
          <w:szCs w:val="24"/>
          <w:lang w:eastAsia="zh-CN"/>
        </w:rPr>
        <w:t xml:space="preserve">实施</w:t>
      </w:r>
      <w:r>
        <w:rPr>
          <w:rFonts w:ascii="宋体" w:hAnsi="宋体" w:eastAsia="宋体"/>
          <w:sz w:val="24"/>
          <w:szCs w:val="24"/>
        </w:rPr>
        <w:t xml:space="preserve">过程中未严格履行农民工工资监控制度，对施工工人工资发放监管不力，引发欠薪事件，导致施工工人采用极端方式讨薪，造成较为恶劣的社会影响的，将提请建设主管部门对其进行处罚。</w:t>
      </w:r>
      <w:r/>
    </w:p>
    <w:p>
      <w:pPr>
        <w:ind w:firstLine="480"/>
        <w:spacing w:line="500" w:lineRule="atLeast"/>
        <w:rPr>
          <w:rFonts w:hint="eastAsia" w:ascii="宋体" w:hAnsi="宋体" w:eastAsia="宋体"/>
          <w:sz w:val="24"/>
          <w:szCs w:val="24"/>
        </w:rPr>
      </w:pPr>
      <w:r>
        <w:rPr>
          <w:rFonts w:ascii="宋体" w:hAnsi="宋体" w:eastAsia="宋体"/>
          <w:sz w:val="24"/>
          <w:szCs w:val="24"/>
        </w:rPr>
        <w:t xml:space="preserve">7.本项目合同履行地点</w:t>
      </w:r>
      <w:r>
        <w:rPr>
          <w:rFonts w:hint="eastAsia" w:ascii="宋体" w:hAnsi="宋体" w:eastAsia="宋体"/>
          <w:sz w:val="24"/>
          <w:szCs w:val="24"/>
        </w:rPr>
        <w:t xml:space="preserve">，</w:t>
      </w:r>
      <w:r>
        <w:rPr>
          <w:rFonts w:ascii="宋体" w:hAnsi="宋体" w:eastAsia="宋体"/>
          <w:sz w:val="24"/>
          <w:szCs w:val="24"/>
        </w:rPr>
        <w:t xml:space="preserve">具体以合同书约定为准。中标人必须按采购人要求将本项目中货物送到指定地点(包括可能的分布范围)，并分地实施安装调试。</w:t>
      </w:r>
      <w:r/>
    </w:p>
    <w:p>
      <w:pPr>
        <w:ind w:firstLine="480"/>
        <w:spacing w:line="500" w:lineRule="atLeast"/>
        <w:rPr>
          <w:rFonts w:hint="eastAsia" w:ascii="宋体" w:hAnsi="宋体" w:eastAsia="宋体"/>
          <w:sz w:val="24"/>
          <w:szCs w:val="24"/>
        </w:rPr>
      </w:pPr>
      <w:r>
        <w:rPr>
          <w:rFonts w:hint="eastAsia" w:ascii="宋体" w:hAnsi="宋体" w:eastAsia="宋体"/>
          <w:sz w:val="24"/>
          <w:szCs w:val="24"/>
        </w:rPr>
        <w:t xml:space="preserve">8.</w:t>
      </w:r>
      <w:r>
        <w:rPr>
          <w:rFonts w:ascii="宋体" w:hAnsi="宋体" w:eastAsia="宋体"/>
          <w:sz w:val="24"/>
          <w:szCs w:val="24"/>
        </w:rPr>
        <w:t xml:space="preserve">中标供应商</w:t>
      </w:r>
      <w:r>
        <w:rPr>
          <w:rFonts w:hint="eastAsia" w:ascii="宋体" w:hAnsi="宋体" w:eastAsia="宋体"/>
          <w:sz w:val="24"/>
          <w:szCs w:val="24"/>
        </w:rPr>
        <w:t xml:space="preserve">在货物供货前应对所供设备结合使用现场和实际条件情况能否达到满足合理的舒适环境标准进行复核，并根据复核结果提出合理建议报招标人。</w:t>
      </w:r>
      <w:r/>
    </w:p>
    <w:p>
      <w:pPr>
        <w:ind w:firstLine="480"/>
        <w:spacing w:line="500" w:lineRule="atLeast"/>
        <w:rPr>
          <w:rFonts w:hint="eastAsia" w:ascii="宋体" w:hAnsi="宋体" w:eastAsia="宋体"/>
          <w:sz w:val="24"/>
          <w:szCs w:val="24"/>
        </w:rPr>
      </w:pPr>
      <w:r>
        <w:rPr>
          <w:rFonts w:hint="eastAsia" w:ascii="宋体" w:hAnsi="宋体" w:eastAsia="宋体"/>
          <w:sz w:val="24"/>
          <w:szCs w:val="24"/>
        </w:rPr>
        <w:t xml:space="preserve">9</w:t>
      </w:r>
      <w:r>
        <w:rPr>
          <w:rFonts w:ascii="宋体" w:hAnsi="宋体" w:eastAsia="宋体"/>
          <w:sz w:val="24"/>
          <w:szCs w:val="24"/>
        </w:rPr>
        <w:t xml:space="preserve">.售后服务要求：</w:t>
      </w:r>
      <w:r/>
    </w:p>
    <w:p>
      <w:pPr>
        <w:ind w:firstLine="480"/>
        <w:spacing w:line="500" w:lineRule="atLeast"/>
        <w:rPr>
          <w:rFonts w:hint="eastAsia" w:ascii="宋体" w:hAnsi="宋体" w:eastAsia="宋体"/>
          <w:sz w:val="24"/>
          <w:szCs w:val="24"/>
        </w:rPr>
      </w:pPr>
      <w:r>
        <w:rPr>
          <w:rFonts w:hint="eastAsia" w:ascii="宋体" w:hAnsi="宋体" w:eastAsia="宋体"/>
          <w:sz w:val="24"/>
          <w:szCs w:val="24"/>
        </w:rPr>
        <w:t xml:space="preserve">（</w:t>
      </w:r>
      <w:r>
        <w:rPr>
          <w:rFonts w:ascii="宋体" w:hAnsi="宋体" w:eastAsia="宋体"/>
          <w:sz w:val="24"/>
          <w:szCs w:val="24"/>
        </w:rPr>
        <w:t xml:space="preserve">1）售后服务质保期限：除特殊说明外，本项目免费质保期不少于1年，免费质保期从验收通过之日起算。</w:t>
      </w:r>
      <w:r/>
    </w:p>
    <w:p>
      <w:pPr>
        <w:ind w:firstLine="480"/>
        <w:spacing w:line="500" w:lineRule="atLeast"/>
        <w:rPr>
          <w:rFonts w:hint="eastAsia" w:ascii="宋体" w:hAnsi="宋体" w:eastAsia="宋体"/>
          <w:sz w:val="24"/>
          <w:szCs w:val="24"/>
        </w:rPr>
      </w:pPr>
      <w:r>
        <w:rPr>
          <w:rFonts w:hint="eastAsia" w:ascii="宋体" w:hAnsi="宋体" w:eastAsia="宋体"/>
          <w:sz w:val="24"/>
          <w:szCs w:val="24"/>
        </w:rPr>
        <w:t xml:space="preserve">（</w:t>
      </w:r>
      <w:r>
        <w:rPr>
          <w:rFonts w:ascii="宋体" w:hAnsi="宋体" w:eastAsia="宋体"/>
          <w:sz w:val="24"/>
          <w:szCs w:val="24"/>
        </w:rPr>
        <w:t xml:space="preserve">2）服务时间要求：在质保期内，如果发生故障，投标人需在24小时内响应，免费上门调查故障原因并修复直至满足最终验收指标和性能的要求。提供7×24小时电话及24小时内响应服务，并在用户需要时48小时内到现场，8小时内解决问题，8小时内无法解决问题的，免费提供备用产品保证日常工作正常进行。（需提供承诺书，格式自拟，承诺书需体现以上内容，并加盖投标人公章）</w:t>
      </w:r>
      <w:r/>
    </w:p>
    <w:p>
      <w:pPr>
        <w:ind w:firstLine="480"/>
        <w:spacing w:line="500" w:lineRule="atLeast"/>
        <w:rPr>
          <w:rFonts w:hint="eastAsia" w:ascii="宋体" w:hAnsi="宋体" w:eastAsia="宋体"/>
          <w:sz w:val="24"/>
          <w:szCs w:val="24"/>
        </w:rPr>
      </w:pPr>
      <w:r>
        <w:rPr>
          <w:rFonts w:hint="eastAsia" w:ascii="宋体" w:hAnsi="宋体" w:eastAsia="宋体"/>
          <w:sz w:val="24"/>
          <w:szCs w:val="24"/>
        </w:rPr>
        <w:t xml:space="preserve">（3）投标人应针对采购单位管理人员、技术人员提供培训，以便对工程实施进行有效的管理，保证工程验收移交后，采购单位能够胜任系统的全部运行、操作、维护，故障分析处理，设备维修和保养等工作。</w:t>
      </w:r>
      <w:r/>
    </w:p>
    <w:p>
      <w:pPr>
        <w:spacing w:line="500" w:lineRule="atLeast"/>
        <w:rPr>
          <w:rFonts w:hint="eastAsia" w:ascii="宋体" w:hAnsi="宋体" w:eastAsia="宋体"/>
          <w:b/>
          <w:bCs/>
          <w:sz w:val="24"/>
          <w:szCs w:val="24"/>
        </w:rPr>
        <w:outlineLvl w:val="1"/>
      </w:pPr>
      <w:r/>
      <w:bookmarkStart w:id="175" w:name="_Toc167979425"/>
      <w:r/>
      <w:bookmarkStart w:id="176" w:name="_Toc167979698"/>
      <w:r>
        <w:rPr>
          <w:rFonts w:hint="eastAsia" w:ascii="宋体" w:hAnsi="宋体" w:eastAsia="宋体"/>
          <w:b/>
          <w:bCs/>
          <w:sz w:val="24"/>
          <w:szCs w:val="24"/>
        </w:rPr>
        <w:t xml:space="preserve">二、设备供货清单</w:t>
      </w:r>
      <w:bookmarkEnd w:id="175"/>
      <w:r/>
      <w:bookmarkEnd w:id="176"/>
      <w:r/>
      <w:r/>
    </w:p>
    <w:p>
      <w:pPr>
        <w:ind w:firstLine="480"/>
        <w:spacing w:after="156" w:line="500" w:lineRule="atLeast"/>
        <w:rPr>
          <w:rFonts w:hint="eastAsia" w:ascii="宋体" w:hAnsi="宋体" w:eastAsia="宋体"/>
          <w:sz w:val="24"/>
          <w:szCs w:val="24"/>
        </w:rPr>
      </w:pPr>
      <w:r>
        <w:rPr>
          <w:rFonts w:hint="eastAsia" w:ascii="宋体" w:hAnsi="宋体" w:eastAsia="宋体"/>
          <w:sz w:val="24"/>
          <w:szCs w:val="24"/>
        </w:rPr>
        <w:t xml:space="preserve">所有设备清单均须接到采购方通知后，供应商才可进行采购。</w:t>
      </w:r>
      <w:r/>
    </w:p>
    <w:tbl>
      <w:tblPr>
        <w:tblStyle w:val="859"/>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704"/>
        <w:gridCol w:w="1276"/>
        <w:gridCol w:w="4536"/>
        <w:gridCol w:w="709"/>
        <w:gridCol w:w="1071"/>
      </w:tblGrid>
      <w:tr>
        <w:trPr>
          <w:jc w:val="center"/>
          <w:tblHeader/>
        </w:trPr>
        <w:tc>
          <w:tcPr>
            <w:tcW w:w="704" w:type="dxa"/>
            <w:textDirection w:val="lrTb"/>
            <w:noWrap w:val="false"/>
          </w:tcPr>
          <w:p>
            <w:pPr>
              <w:jc w:val="center"/>
              <w:spacing w:before="62" w:after="62"/>
              <w:rPr>
                <w:rFonts w:hint="eastAsia" w:ascii="宋体" w:hAnsi="宋体" w:eastAsia="宋体"/>
                <w:b/>
                <w:bCs/>
                <w:szCs w:val="21"/>
              </w:rPr>
            </w:pPr>
            <w:r>
              <w:rPr>
                <w:rFonts w:hint="eastAsia" w:ascii="宋体" w:hAnsi="宋体" w:eastAsia="宋体"/>
                <w:b/>
                <w:bCs/>
                <w:szCs w:val="21"/>
              </w:rPr>
              <w:t xml:space="preserve">序号</w:t>
            </w:r>
            <w:r/>
          </w:p>
        </w:tc>
        <w:tc>
          <w:tcPr>
            <w:tcW w:w="1276" w:type="dxa"/>
            <w:textDirection w:val="lrTb"/>
            <w:noWrap w:val="false"/>
          </w:tcPr>
          <w:p>
            <w:pPr>
              <w:jc w:val="center"/>
              <w:spacing w:before="62" w:after="62"/>
              <w:rPr>
                <w:rFonts w:hint="eastAsia" w:ascii="宋体" w:hAnsi="宋体" w:eastAsia="宋体"/>
                <w:b/>
                <w:bCs/>
                <w:szCs w:val="21"/>
              </w:rPr>
            </w:pPr>
            <w:r>
              <w:rPr>
                <w:rFonts w:hint="eastAsia" w:ascii="宋体" w:hAnsi="宋体" w:eastAsia="宋体"/>
                <w:b/>
                <w:bCs/>
                <w:szCs w:val="21"/>
              </w:rPr>
              <w:t xml:space="preserve">设备名称</w:t>
            </w:r>
            <w:r/>
          </w:p>
        </w:tc>
        <w:tc>
          <w:tcPr>
            <w:tcW w:w="4536" w:type="dxa"/>
            <w:textDirection w:val="lrTb"/>
            <w:noWrap w:val="false"/>
          </w:tcPr>
          <w:p>
            <w:pPr>
              <w:jc w:val="center"/>
              <w:spacing w:before="62" w:after="62"/>
              <w:rPr>
                <w:rFonts w:hint="eastAsia" w:ascii="宋体" w:hAnsi="宋体" w:eastAsia="宋体"/>
                <w:b/>
                <w:bCs/>
                <w:szCs w:val="21"/>
              </w:rPr>
            </w:pPr>
            <w:r>
              <w:rPr>
                <w:rFonts w:hint="eastAsia" w:ascii="宋体" w:hAnsi="宋体" w:eastAsia="宋体"/>
                <w:b/>
                <w:bCs/>
                <w:szCs w:val="21"/>
              </w:rPr>
              <w:t xml:space="preserve">技术参数要求</w:t>
            </w:r>
            <w:r/>
          </w:p>
        </w:tc>
        <w:tc>
          <w:tcPr>
            <w:tcW w:w="709" w:type="dxa"/>
            <w:textDirection w:val="lrTb"/>
            <w:noWrap w:val="false"/>
          </w:tcPr>
          <w:p>
            <w:pPr>
              <w:jc w:val="center"/>
              <w:spacing w:before="62" w:after="62"/>
              <w:rPr>
                <w:rFonts w:hint="eastAsia" w:ascii="宋体" w:hAnsi="宋体" w:eastAsia="宋体"/>
                <w:b/>
                <w:bCs/>
                <w:szCs w:val="21"/>
              </w:rPr>
            </w:pPr>
            <w:r>
              <w:rPr>
                <w:rFonts w:hint="eastAsia" w:ascii="宋体" w:hAnsi="宋体" w:eastAsia="宋体"/>
                <w:b/>
                <w:bCs/>
                <w:szCs w:val="21"/>
              </w:rPr>
              <w:t xml:space="preserve">数量</w:t>
            </w:r>
            <w:r/>
          </w:p>
        </w:tc>
        <w:tc>
          <w:tcPr>
            <w:tcW w:w="1071" w:type="dxa"/>
            <w:textDirection w:val="lrTb"/>
            <w:noWrap w:val="false"/>
          </w:tcPr>
          <w:p>
            <w:pPr>
              <w:jc w:val="center"/>
              <w:spacing w:before="62" w:after="62"/>
              <w:rPr>
                <w:rFonts w:hint="eastAsia" w:ascii="宋体" w:hAnsi="宋体" w:eastAsia="宋体"/>
                <w:b/>
                <w:bCs/>
                <w:szCs w:val="21"/>
              </w:rPr>
            </w:pPr>
            <w:r>
              <w:rPr>
                <w:rFonts w:hint="eastAsia" w:ascii="宋体" w:hAnsi="宋体" w:eastAsia="宋体"/>
                <w:b/>
                <w:bCs/>
                <w:szCs w:val="21"/>
              </w:rPr>
              <w:t xml:space="preserve">备注</w:t>
            </w:r>
            <w:r/>
          </w:p>
        </w:tc>
      </w:tr>
      <w:tr>
        <w:trPr>
          <w:jc w:val="center"/>
          <w:trHeight w:val="567"/>
        </w:trPr>
        <w:tc>
          <w:tcPr>
            <w:gridSpan w:val="5"/>
            <w:tcW w:w="8296" w:type="dxa"/>
            <w:vAlign w:val="center"/>
            <w:textDirection w:val="lrTb"/>
            <w:noWrap w:val="false"/>
          </w:tcPr>
          <w:p>
            <w:pPr>
              <w:jc w:val="center"/>
              <w:spacing w:before="62" w:after="62"/>
              <w:rPr>
                <w:rFonts w:hint="eastAsia" w:ascii="宋体" w:hAnsi="宋体" w:eastAsia="宋体"/>
                <w:b/>
                <w:bCs/>
                <w:szCs w:val="21"/>
              </w:rPr>
            </w:pPr>
            <w:r>
              <w:rPr>
                <w:rFonts w:hint="eastAsia" w:ascii="宋体" w:hAnsi="宋体" w:eastAsia="宋体"/>
                <w:b/>
                <w:bCs/>
                <w:szCs w:val="21"/>
              </w:rPr>
              <w:t xml:space="preserve">一、短波固定站部分</w:t>
            </w:r>
            <w:r/>
          </w:p>
        </w:tc>
      </w:tr>
      <w:tr>
        <w:trPr>
          <w:jc w:val="center"/>
        </w:trPr>
        <w:tc>
          <w:tcPr>
            <w:tcW w:w="704" w:type="dxa"/>
            <w:textDirection w:val="lrTb"/>
            <w:noWrap w:val="false"/>
          </w:tcPr>
          <w:p>
            <w:pPr>
              <w:jc w:val="center"/>
              <w:spacing w:before="62" w:after="62"/>
              <w:rPr>
                <w:rFonts w:hint="eastAsia" w:ascii="宋体" w:hAnsi="宋体" w:eastAsia="宋体"/>
                <w:szCs w:val="21"/>
              </w:rPr>
            </w:pPr>
            <w:r>
              <w:rPr>
                <w:rFonts w:hint="eastAsia" w:ascii="宋体" w:hAnsi="宋体" w:eastAsia="宋体"/>
                <w:szCs w:val="21"/>
              </w:rPr>
              <w:t xml:space="preserve">1</w:t>
            </w:r>
            <w:r/>
          </w:p>
        </w:tc>
        <w:tc>
          <w:tcPr>
            <w:tcW w:w="1276" w:type="dxa"/>
            <w:textDirection w:val="lrTb"/>
            <w:noWrap w:val="false"/>
          </w:tcPr>
          <w:p>
            <w:pPr>
              <w:spacing w:before="62" w:after="62"/>
              <w:rPr>
                <w:rFonts w:hint="eastAsia" w:ascii="宋体" w:hAnsi="宋体" w:eastAsia="宋体"/>
                <w:szCs w:val="21"/>
              </w:rPr>
            </w:pPr>
            <w:r>
              <w:rPr>
                <w:rFonts w:hint="eastAsia" w:ascii="宋体" w:hAnsi="宋体" w:eastAsia="宋体"/>
                <w:szCs w:val="21"/>
              </w:rPr>
              <w:t xml:space="preserve">军用自主选频短波电台</w:t>
            </w:r>
            <w:r/>
          </w:p>
          <w:p>
            <w:pPr>
              <w:spacing w:before="62" w:after="62"/>
              <w:rPr>
                <w:rFonts w:hint="eastAsia" w:ascii="宋体" w:hAnsi="宋体" w:eastAsia="宋体"/>
                <w:szCs w:val="21"/>
              </w:rPr>
            </w:pPr>
            <w:r>
              <w:rPr>
                <w:rFonts w:hint="eastAsia" w:ascii="宋体" w:hAnsi="宋体" w:eastAsia="宋体"/>
                <w:szCs w:val="21"/>
              </w:rPr>
              <w:t xml:space="preserve">（核心产品）</w:t>
            </w:r>
            <w:r/>
          </w:p>
        </w:tc>
        <w:tc>
          <w:tcPr>
            <w:tcW w:w="4536" w:type="dxa"/>
            <w:textDirection w:val="lrTb"/>
            <w:noWrap w:val="false"/>
          </w:tcPr>
          <w:p>
            <w:pPr>
              <w:spacing w:before="62" w:after="62"/>
              <w:rPr>
                <w:rFonts w:hint="eastAsia" w:ascii="宋体" w:hAnsi="宋体" w:eastAsia="宋体"/>
                <w:spacing w:val="-4"/>
                <w:szCs w:val="21"/>
              </w:rPr>
            </w:pPr>
            <w:r>
              <w:rPr>
                <w:rFonts w:hint="eastAsia" w:ascii="宋体" w:hAnsi="宋体" w:eastAsia="宋体"/>
                <w:spacing w:val="-4"/>
                <w:szCs w:val="21"/>
              </w:rPr>
              <w:t xml:space="preserve">短波自主选频电台用于固定站，其主要性能要求如下：</w:t>
            </w:r>
            <w:r/>
          </w:p>
          <w:p>
            <w:pPr>
              <w:spacing w:before="62" w:after="62"/>
              <w:rPr>
                <w:rFonts w:hint="eastAsia" w:ascii="宋体" w:hAnsi="宋体" w:eastAsia="宋体"/>
                <w:szCs w:val="21"/>
              </w:rPr>
            </w:pPr>
            <w:r>
              <w:rPr>
                <w:rFonts w:ascii="宋体" w:hAnsi="宋体" w:eastAsia="宋体"/>
                <w:szCs w:val="21"/>
              </w:rPr>
              <w:t xml:space="preserve">1.</w:t>
            </w:r>
            <w:r>
              <w:rPr>
                <w:rFonts w:hint="eastAsia" w:ascii="宋体" w:hAnsi="宋体" w:eastAsia="宋体"/>
                <w:b/>
                <w:bCs/>
                <w:sz w:val="24"/>
              </w:rPr>
              <w:t xml:space="preserve">★</w:t>
            </w:r>
            <w:r>
              <w:rPr>
                <w:rFonts w:ascii="宋体" w:hAnsi="宋体" w:eastAsia="宋体"/>
                <w:szCs w:val="21"/>
              </w:rPr>
              <w:t xml:space="preserve">与</w:t>
            </w:r>
            <w:r>
              <w:rPr>
                <w:rFonts w:hint="eastAsia" w:ascii="宋体" w:hAnsi="宋体" w:eastAsia="宋体"/>
                <w:szCs w:val="21"/>
              </w:rPr>
              <w:t xml:space="preserve">盐城市国动办</w:t>
            </w:r>
            <w:r>
              <w:rPr>
                <w:rFonts w:ascii="宋体" w:hAnsi="宋体" w:eastAsia="宋体"/>
                <w:szCs w:val="21"/>
              </w:rPr>
              <w:t xml:space="preserve">短波试点网络能够采用自主选频模式互联互通；</w:t>
            </w:r>
            <w:r/>
          </w:p>
          <w:p>
            <w:pPr>
              <w:spacing w:before="62" w:after="62"/>
              <w:rPr>
                <w:rFonts w:hint="eastAsia" w:ascii="宋体" w:hAnsi="宋体" w:eastAsia="宋体"/>
                <w:szCs w:val="21"/>
              </w:rPr>
            </w:pPr>
            <w:r>
              <w:rPr>
                <w:rFonts w:ascii="宋体" w:hAnsi="宋体" w:eastAsia="宋体"/>
                <w:szCs w:val="21"/>
              </w:rPr>
              <w:t xml:space="preserve">2.▲自主选频有三种建链模式：快速建链、优选建链、指配优先建链；</w:t>
            </w:r>
            <w:r/>
          </w:p>
          <w:p>
            <w:pPr>
              <w:spacing w:before="62" w:after="62"/>
              <w:rPr>
                <w:rFonts w:hint="eastAsia" w:ascii="宋体" w:hAnsi="宋体" w:eastAsia="宋体"/>
                <w:szCs w:val="21"/>
              </w:rPr>
            </w:pPr>
            <w:r>
              <w:rPr>
                <w:rFonts w:ascii="宋体" w:hAnsi="宋体" w:eastAsia="宋体"/>
                <w:szCs w:val="21"/>
              </w:rPr>
              <w:t xml:space="preserve">3.具有自主选频功能、频谱监测功能、非实时语音功能、通信链路自动维护功能、智能跟踪移动载体功能、态势监控功能；</w:t>
            </w:r>
            <w:r/>
          </w:p>
          <w:p>
            <w:pPr>
              <w:spacing w:before="62" w:after="62"/>
              <w:rPr>
                <w:rFonts w:hint="eastAsia" w:ascii="宋体" w:hAnsi="宋体" w:eastAsia="宋体"/>
                <w:szCs w:val="21"/>
              </w:rPr>
            </w:pPr>
            <w:r>
              <w:rPr>
                <w:rFonts w:ascii="宋体" w:hAnsi="宋体" w:eastAsia="宋体"/>
                <w:szCs w:val="21"/>
              </w:rPr>
              <w:t xml:space="preserve">4.北斗定位、校时：电台内置北斗接收模块，外接北斗接收天线，实现电台定位和校时；</w:t>
            </w:r>
            <w:r/>
          </w:p>
          <w:p>
            <w:pPr>
              <w:spacing w:before="62" w:after="62"/>
              <w:rPr>
                <w:rFonts w:hint="eastAsia" w:ascii="宋体" w:hAnsi="宋体" w:eastAsia="宋体"/>
                <w:szCs w:val="21"/>
              </w:rPr>
            </w:pPr>
            <w:r>
              <w:rPr>
                <w:rFonts w:ascii="宋体" w:hAnsi="宋体" w:eastAsia="宋体"/>
                <w:szCs w:val="21"/>
              </w:rPr>
              <w:t xml:space="preserve">5.自主选频探测模式短信（非建链微信通信模式）：电台在探测过程中可以发送文字短信、话音短信、北斗定位信息；</w:t>
            </w:r>
            <w:r/>
          </w:p>
          <w:p>
            <w:pPr>
              <w:spacing w:before="62" w:after="62"/>
              <w:rPr>
                <w:rFonts w:hint="eastAsia" w:ascii="宋体" w:hAnsi="宋体" w:eastAsia="宋体"/>
                <w:szCs w:val="21"/>
              </w:rPr>
            </w:pPr>
            <w:r>
              <w:rPr>
                <w:rFonts w:ascii="宋体" w:hAnsi="宋体" w:eastAsia="宋体"/>
                <w:szCs w:val="21"/>
              </w:rPr>
              <w:t xml:space="preserve">6.工作模式：定频通信、自主选频通信、自动控制通信、自适应通信、点对点通信、点对多点（组网）通信、转信通信；</w:t>
            </w:r>
            <w:r/>
          </w:p>
          <w:p>
            <w:pPr>
              <w:spacing w:before="62" w:after="62"/>
              <w:rPr>
                <w:rFonts w:hint="eastAsia" w:ascii="宋体" w:hAnsi="宋体" w:eastAsia="宋体"/>
                <w:szCs w:val="21"/>
              </w:rPr>
            </w:pPr>
            <w:r>
              <w:rPr>
                <w:rFonts w:ascii="宋体" w:hAnsi="宋体" w:eastAsia="宋体"/>
                <w:szCs w:val="21"/>
              </w:rPr>
              <w:t xml:space="preserve">7.业务类型：模拟话、声码话、数据流、数据报、非实时语音（微信话音）；</w:t>
            </w:r>
            <w:r/>
          </w:p>
          <w:p>
            <w:pPr>
              <w:spacing w:before="62" w:after="62"/>
              <w:rPr>
                <w:rFonts w:hint="eastAsia" w:ascii="宋体" w:hAnsi="宋体" w:eastAsia="宋体"/>
                <w:szCs w:val="21"/>
              </w:rPr>
            </w:pPr>
            <w:r>
              <w:rPr>
                <w:rFonts w:ascii="宋体" w:hAnsi="宋体" w:eastAsia="宋体"/>
                <w:szCs w:val="21"/>
              </w:rPr>
              <w:t xml:space="preserve">8.自主选频探测性能：</w:t>
            </w:r>
            <w:r/>
          </w:p>
          <w:p>
            <w:pPr>
              <w:spacing w:before="62" w:after="62"/>
              <w:rPr>
                <w:rFonts w:hint="eastAsia" w:ascii="宋体" w:hAnsi="宋体" w:eastAsia="宋体"/>
                <w:szCs w:val="21"/>
              </w:rPr>
            </w:pPr>
            <w:r>
              <w:rPr>
                <w:rFonts w:hint="eastAsia" w:ascii="宋体" w:hAnsi="宋体" w:eastAsia="宋体"/>
                <w:szCs w:val="21"/>
              </w:rPr>
              <w:t xml:space="preserve">①探测信号捕获带宽：</w:t>
            </w:r>
            <w:r>
              <w:rPr>
                <w:rFonts w:ascii="宋体" w:hAnsi="宋体" w:eastAsia="宋体"/>
                <w:szCs w:val="21"/>
              </w:rPr>
              <w:t xml:space="preserve">1.6 MHz～30 MHz；</w:t>
            </w:r>
            <w:r/>
          </w:p>
          <w:p>
            <w:pPr>
              <w:spacing w:before="62" w:after="62"/>
              <w:rPr>
                <w:rFonts w:hint="eastAsia" w:ascii="宋体" w:hAnsi="宋体" w:eastAsia="宋体"/>
                <w:szCs w:val="21"/>
              </w:rPr>
            </w:pPr>
            <w:r>
              <w:rPr>
                <w:rFonts w:hint="eastAsia" w:ascii="宋体" w:hAnsi="宋体" w:eastAsia="宋体"/>
                <w:szCs w:val="21"/>
              </w:rPr>
              <w:t xml:space="preserve">②捕获门限：</w:t>
            </w:r>
            <w:r>
              <w:rPr>
                <w:rFonts w:ascii="宋体" w:hAnsi="宋体" w:eastAsia="宋体"/>
                <w:szCs w:val="21"/>
              </w:rPr>
              <w:t xml:space="preserve">-6 dB；</w:t>
            </w:r>
            <w:r/>
          </w:p>
          <w:p>
            <w:pPr>
              <w:spacing w:before="62" w:after="62"/>
              <w:rPr>
                <w:rFonts w:hint="eastAsia" w:ascii="宋体" w:hAnsi="宋体" w:eastAsia="宋体"/>
                <w:szCs w:val="21"/>
              </w:rPr>
            </w:pPr>
            <w:r>
              <w:rPr>
                <w:rFonts w:hint="eastAsia" w:ascii="宋体" w:hAnsi="宋体" w:eastAsia="宋体"/>
                <w:szCs w:val="21"/>
              </w:rPr>
              <w:t xml:space="preserve">③捕获概率：≥</w:t>
            </w:r>
            <w:r>
              <w:rPr>
                <w:rFonts w:ascii="宋体" w:hAnsi="宋体" w:eastAsia="宋体"/>
                <w:szCs w:val="21"/>
              </w:rPr>
              <w:t xml:space="preserve">95%；</w:t>
            </w:r>
            <w:r/>
          </w:p>
          <w:p>
            <w:pPr>
              <w:spacing w:before="62" w:after="62"/>
              <w:rPr>
                <w:rFonts w:hint="eastAsia" w:ascii="宋体" w:hAnsi="宋体" w:eastAsia="宋体"/>
                <w:szCs w:val="21"/>
              </w:rPr>
            </w:pPr>
            <w:r>
              <w:rPr>
                <w:rFonts w:ascii="宋体" w:hAnsi="宋体" w:eastAsia="宋体"/>
                <w:szCs w:val="21"/>
              </w:rPr>
              <w:t xml:space="preserve">9.建链性能：</w:t>
            </w:r>
            <w:r/>
          </w:p>
          <w:p>
            <w:pPr>
              <w:spacing w:before="62" w:after="62"/>
              <w:rPr>
                <w:rFonts w:hint="eastAsia" w:ascii="宋体" w:hAnsi="宋体" w:eastAsia="宋体"/>
                <w:szCs w:val="21"/>
              </w:rPr>
            </w:pPr>
            <w:r>
              <w:rPr>
                <w:rFonts w:hint="eastAsia" w:ascii="宋体" w:hAnsi="宋体" w:eastAsia="宋体"/>
                <w:szCs w:val="21"/>
              </w:rPr>
              <w:t xml:space="preserve">①平均建链时间：≤</w:t>
            </w:r>
            <w:r>
              <w:rPr>
                <w:rFonts w:ascii="宋体" w:hAnsi="宋体" w:eastAsia="宋体"/>
                <w:szCs w:val="21"/>
              </w:rPr>
              <w:t xml:space="preserve">30 s；</w:t>
            </w:r>
            <w:r/>
          </w:p>
          <w:p>
            <w:pPr>
              <w:spacing w:before="62" w:after="62"/>
              <w:rPr>
                <w:rFonts w:hint="eastAsia" w:ascii="宋体" w:hAnsi="宋体" w:eastAsia="宋体"/>
                <w:szCs w:val="21"/>
              </w:rPr>
            </w:pPr>
            <w:r>
              <w:rPr>
                <w:rFonts w:hint="eastAsia" w:ascii="宋体" w:hAnsi="宋体" w:eastAsia="宋体"/>
                <w:szCs w:val="21"/>
              </w:rPr>
              <w:t xml:space="preserve">②建链门限：</w:t>
            </w:r>
            <w:r>
              <w:rPr>
                <w:rFonts w:ascii="宋体" w:hAnsi="宋体" w:eastAsia="宋体"/>
                <w:szCs w:val="21"/>
              </w:rPr>
              <w:t xml:space="preserve">-5 dB；</w:t>
            </w:r>
            <w:r/>
          </w:p>
          <w:p>
            <w:pPr>
              <w:spacing w:before="62" w:after="62"/>
              <w:rPr>
                <w:rFonts w:hint="eastAsia" w:ascii="宋体" w:hAnsi="宋体" w:eastAsia="宋体"/>
                <w:szCs w:val="21"/>
              </w:rPr>
            </w:pPr>
            <w:r>
              <w:rPr>
                <w:rFonts w:ascii="宋体" w:hAnsi="宋体" w:eastAsia="宋体"/>
                <w:szCs w:val="21"/>
              </w:rPr>
              <w:t xml:space="preserve">10.数据接口：可通过串口、K口实现数据传输；</w:t>
            </w:r>
            <w:r/>
          </w:p>
          <w:p>
            <w:pPr>
              <w:spacing w:before="62" w:after="62"/>
              <w:rPr>
                <w:rFonts w:hint="eastAsia" w:ascii="宋体" w:hAnsi="宋体" w:eastAsia="宋体"/>
                <w:szCs w:val="21"/>
              </w:rPr>
            </w:pPr>
            <w:r>
              <w:rPr>
                <w:rFonts w:ascii="宋体" w:hAnsi="宋体" w:eastAsia="宋体"/>
                <w:szCs w:val="21"/>
              </w:rPr>
              <w:t xml:space="preserve">11.呼叫类型：单呼、网呼；</w:t>
            </w:r>
            <w:r/>
          </w:p>
          <w:p>
            <w:pPr>
              <w:spacing w:before="62" w:after="62"/>
              <w:rPr>
                <w:rFonts w:hint="eastAsia" w:ascii="宋体" w:hAnsi="宋体" w:eastAsia="宋体"/>
                <w:szCs w:val="21"/>
              </w:rPr>
            </w:pPr>
            <w:r>
              <w:rPr>
                <w:rFonts w:ascii="宋体" w:hAnsi="宋体" w:eastAsia="宋体"/>
                <w:szCs w:val="21"/>
              </w:rPr>
              <w:t xml:space="preserve">12.语音编码方式：600 bps声码话；</w:t>
            </w:r>
            <w:r/>
          </w:p>
          <w:p>
            <w:pPr>
              <w:spacing w:before="62" w:after="62"/>
              <w:rPr>
                <w:rFonts w:hint="eastAsia" w:ascii="宋体" w:hAnsi="宋体" w:eastAsia="宋体"/>
                <w:szCs w:val="21"/>
              </w:rPr>
            </w:pPr>
            <w:r>
              <w:rPr>
                <w:rFonts w:ascii="宋体" w:hAnsi="宋体" w:eastAsia="宋体"/>
                <w:szCs w:val="21"/>
              </w:rPr>
              <w:t xml:space="preserve">13.业务传输性能：声码话延时小于800 ms，声码话信噪比不低于-3 dB，数据报文长度不大于1000 Byte，传输速率150 bps；</w:t>
            </w:r>
            <w:r/>
          </w:p>
          <w:p>
            <w:pPr>
              <w:spacing w:before="62" w:after="62"/>
              <w:rPr>
                <w:rFonts w:hint="eastAsia" w:ascii="宋体" w:hAnsi="宋体" w:eastAsia="宋体"/>
                <w:szCs w:val="21"/>
              </w:rPr>
            </w:pPr>
            <w:r>
              <w:rPr>
                <w:rFonts w:ascii="宋体" w:hAnsi="宋体" w:eastAsia="宋体"/>
                <w:szCs w:val="21"/>
              </w:rPr>
              <w:t xml:space="preserve">14.数据速率：75 bps、150 bps、300 bps、600 bps、1200 bps、2400 bps（速率自适应）；</w:t>
            </w:r>
            <w:r/>
          </w:p>
          <w:p>
            <w:pPr>
              <w:spacing w:before="62" w:after="62"/>
              <w:rPr>
                <w:rFonts w:hint="eastAsia" w:ascii="宋体" w:hAnsi="宋体" w:eastAsia="宋体"/>
                <w:szCs w:val="21"/>
              </w:rPr>
            </w:pPr>
            <w:r>
              <w:rPr>
                <w:rFonts w:ascii="宋体" w:hAnsi="宋体" w:eastAsia="宋体"/>
                <w:szCs w:val="21"/>
              </w:rPr>
              <w:t xml:space="preserve">15.频率范围：1.6 MHz～30 MHz；</w:t>
            </w:r>
            <w:r/>
          </w:p>
          <w:p>
            <w:pPr>
              <w:spacing w:before="62" w:after="62"/>
              <w:rPr>
                <w:rFonts w:hint="eastAsia" w:ascii="宋体" w:hAnsi="宋体" w:eastAsia="宋体"/>
                <w:szCs w:val="21"/>
              </w:rPr>
            </w:pPr>
            <w:r>
              <w:rPr>
                <w:rFonts w:ascii="宋体" w:hAnsi="宋体" w:eastAsia="宋体"/>
                <w:szCs w:val="21"/>
              </w:rPr>
              <w:t xml:space="preserve">16.频率间隔：100 Hz；</w:t>
            </w:r>
            <w:r/>
          </w:p>
          <w:p>
            <w:pPr>
              <w:spacing w:before="62" w:after="62"/>
              <w:rPr>
                <w:rFonts w:hint="eastAsia" w:ascii="宋体" w:hAnsi="宋体" w:eastAsia="宋体"/>
                <w:szCs w:val="21"/>
              </w:rPr>
            </w:pPr>
            <w:r>
              <w:rPr>
                <w:rFonts w:ascii="宋体" w:hAnsi="宋体" w:eastAsia="宋体"/>
                <w:szCs w:val="21"/>
              </w:rPr>
              <w:t xml:space="preserve">17.平均功率：≥85 W（CW）；</w:t>
            </w:r>
            <w:r/>
          </w:p>
          <w:p>
            <w:pPr>
              <w:spacing w:before="62" w:after="62"/>
              <w:rPr>
                <w:rFonts w:hint="eastAsia" w:ascii="宋体" w:hAnsi="宋体" w:eastAsia="宋体"/>
                <w:szCs w:val="21"/>
              </w:rPr>
            </w:pPr>
            <w:r>
              <w:rPr>
                <w:rFonts w:ascii="宋体" w:hAnsi="宋体" w:eastAsia="宋体"/>
                <w:szCs w:val="21"/>
              </w:rPr>
              <w:t xml:space="preserve">18.发射功耗：≤500 W（在工作电压24V时测试）；</w:t>
            </w:r>
            <w:r/>
          </w:p>
          <w:p>
            <w:pPr>
              <w:spacing w:before="62" w:after="62"/>
              <w:rPr>
                <w:rFonts w:hint="eastAsia" w:ascii="宋体" w:hAnsi="宋体" w:eastAsia="宋体"/>
                <w:szCs w:val="21"/>
              </w:rPr>
            </w:pPr>
            <w:r>
              <w:rPr>
                <w:rFonts w:ascii="宋体" w:hAnsi="宋体" w:eastAsia="宋体"/>
                <w:szCs w:val="21"/>
              </w:rPr>
              <w:t xml:space="preserve">19.峰包功率：125 W±1 dB（USB，LSB）；</w:t>
            </w:r>
            <w:r/>
          </w:p>
          <w:p>
            <w:pPr>
              <w:spacing w:before="62" w:after="62"/>
              <w:rPr>
                <w:rFonts w:hint="eastAsia" w:ascii="宋体" w:hAnsi="宋体" w:eastAsia="宋体"/>
                <w:szCs w:val="21"/>
              </w:rPr>
            </w:pPr>
            <w:r>
              <w:rPr>
                <w:rFonts w:ascii="宋体" w:hAnsi="宋体" w:eastAsia="宋体"/>
                <w:szCs w:val="21"/>
              </w:rPr>
              <w:t xml:space="preserve">20.基准灵敏度：≤1 μV时，SINAD≥12 dB（USB、LSB）；</w:t>
            </w:r>
            <w:r/>
          </w:p>
          <w:p>
            <w:pPr>
              <w:spacing w:before="62" w:after="62"/>
              <w:rPr>
                <w:rFonts w:hint="eastAsia" w:ascii="宋体" w:hAnsi="宋体" w:eastAsia="宋体"/>
                <w:szCs w:val="21"/>
              </w:rPr>
            </w:pPr>
            <w:r>
              <w:rPr>
                <w:rFonts w:ascii="宋体" w:hAnsi="宋体" w:eastAsia="宋体"/>
                <w:szCs w:val="21"/>
              </w:rPr>
              <w:t xml:space="preserve">21.额定工作电压：24.0 VDC；电源电压范围：19.2 V～32.4 V；</w:t>
            </w:r>
            <w:r/>
          </w:p>
          <w:p>
            <w:pPr>
              <w:spacing w:before="62" w:after="62"/>
              <w:rPr>
                <w:rFonts w:hint="eastAsia" w:ascii="宋体" w:hAnsi="宋体" w:eastAsia="宋体"/>
                <w:szCs w:val="21"/>
              </w:rPr>
            </w:pPr>
            <w:r>
              <w:rPr>
                <w:rFonts w:ascii="宋体" w:hAnsi="宋体" w:eastAsia="宋体"/>
                <w:szCs w:val="21"/>
              </w:rPr>
              <w:t xml:space="preserve">22.工作温度：-25 ℃～+55 ℃。</w:t>
            </w:r>
            <w:r/>
          </w:p>
        </w:tc>
        <w:tc>
          <w:tcPr>
            <w:tcW w:w="709" w:type="dxa"/>
            <w:textDirection w:val="lrTb"/>
            <w:noWrap w:val="false"/>
          </w:tcPr>
          <w:p>
            <w:pPr>
              <w:jc w:val="center"/>
              <w:spacing w:before="62" w:after="62"/>
              <w:rPr>
                <w:rFonts w:hint="eastAsia" w:ascii="宋体" w:hAnsi="宋体" w:eastAsia="宋体"/>
                <w:szCs w:val="21"/>
              </w:rPr>
            </w:pPr>
            <w:r>
              <w:rPr>
                <w:rFonts w:hint="eastAsia" w:ascii="宋体" w:hAnsi="宋体" w:eastAsia="宋体"/>
                <w:szCs w:val="21"/>
              </w:rPr>
              <w:t xml:space="preserve">1</w:t>
            </w:r>
            <w:r/>
          </w:p>
        </w:tc>
        <w:tc>
          <w:tcPr>
            <w:tcW w:w="1071" w:type="dxa"/>
            <w:textDirection w:val="lrTb"/>
            <w:noWrap w:val="false"/>
          </w:tcPr>
          <w:p>
            <w:pPr>
              <w:jc w:val="left"/>
              <w:spacing w:before="62" w:after="62"/>
              <w:rPr>
                <w:rFonts w:hint="eastAsia" w:ascii="宋体" w:hAnsi="宋体" w:eastAsia="宋体"/>
                <w:szCs w:val="21"/>
              </w:rPr>
            </w:pPr>
            <w:r>
              <w:rPr>
                <w:rFonts w:hint="eastAsia" w:ascii="宋体" w:hAnsi="宋体" w:eastAsia="宋体"/>
                <w:szCs w:val="21"/>
              </w:rPr>
              <w:t xml:space="preserve">投标人须提供与盐城市国动办短波试点网络可以采用自主选频模式互联互通的承诺书以及电台操作界面显示的快速建链、优选建链、指配优先建链共三种自主选频建链模式的功能截图。</w:t>
            </w:r>
            <w:r/>
          </w:p>
        </w:tc>
      </w:tr>
      <w:tr>
        <w:trPr>
          <w:jc w:val="center"/>
        </w:trPr>
        <w:tc>
          <w:tcPr>
            <w:tcW w:w="704" w:type="dxa"/>
            <w:textDirection w:val="lrTb"/>
            <w:noWrap w:val="false"/>
          </w:tcPr>
          <w:p>
            <w:pPr>
              <w:jc w:val="center"/>
              <w:spacing w:before="62" w:after="62"/>
              <w:rPr>
                <w:rFonts w:hint="eastAsia" w:ascii="宋体" w:hAnsi="宋体" w:eastAsia="宋体"/>
                <w:szCs w:val="21"/>
              </w:rPr>
            </w:pPr>
            <w:r>
              <w:rPr>
                <w:rFonts w:hint="eastAsia" w:ascii="宋体" w:hAnsi="宋体" w:eastAsia="宋体"/>
                <w:szCs w:val="21"/>
              </w:rPr>
              <w:t xml:space="preserve">2</w:t>
            </w:r>
            <w:r/>
          </w:p>
        </w:tc>
        <w:tc>
          <w:tcPr>
            <w:tcW w:w="1276" w:type="dxa"/>
            <w:textDirection w:val="lrTb"/>
            <w:noWrap w:val="false"/>
          </w:tcPr>
          <w:p>
            <w:pPr>
              <w:spacing w:before="62" w:after="62"/>
              <w:rPr>
                <w:rFonts w:hint="eastAsia" w:ascii="宋体" w:hAnsi="宋体" w:eastAsia="宋体"/>
                <w:szCs w:val="21"/>
              </w:rPr>
            </w:pPr>
            <w:r>
              <w:rPr>
                <w:rFonts w:hint="eastAsia" w:ascii="宋体" w:hAnsi="宋体" w:eastAsia="宋体"/>
                <w:szCs w:val="21"/>
              </w:rPr>
              <w:t xml:space="preserve">三线宽带天线</w:t>
            </w:r>
            <w:r/>
          </w:p>
        </w:tc>
        <w:tc>
          <w:tcPr>
            <w:tcW w:w="4536" w:type="dxa"/>
            <w:textDirection w:val="lrTb"/>
            <w:noWrap w:val="false"/>
          </w:tcPr>
          <w:p>
            <w:pPr>
              <w:spacing w:before="62" w:after="62"/>
              <w:rPr>
                <w:rFonts w:hint="eastAsia" w:ascii="宋体" w:hAnsi="宋体" w:eastAsia="宋体"/>
                <w:szCs w:val="21"/>
              </w:rPr>
            </w:pPr>
            <w:r>
              <w:rPr>
                <w:rFonts w:ascii="宋体" w:hAnsi="宋体" w:eastAsia="宋体"/>
                <w:szCs w:val="21"/>
              </w:rPr>
              <w:t xml:space="preserve">1.型式：三线宽带</w:t>
            </w:r>
            <w:r/>
          </w:p>
          <w:p>
            <w:pPr>
              <w:spacing w:before="62" w:after="62"/>
              <w:rPr>
                <w:rFonts w:hint="eastAsia" w:ascii="宋体" w:hAnsi="宋体" w:eastAsia="宋体"/>
                <w:szCs w:val="21"/>
              </w:rPr>
            </w:pPr>
            <w:r>
              <w:rPr>
                <w:rFonts w:ascii="宋体" w:hAnsi="宋体" w:eastAsia="宋体"/>
                <w:szCs w:val="21"/>
              </w:rPr>
              <w:t xml:space="preserve">2.频率范围：2.0MHz～30MHz</w:t>
            </w:r>
            <w:r/>
          </w:p>
          <w:p>
            <w:pPr>
              <w:spacing w:before="62" w:after="62"/>
              <w:rPr>
                <w:rFonts w:hint="eastAsia" w:ascii="宋体" w:hAnsi="宋体" w:eastAsia="宋体"/>
                <w:szCs w:val="21"/>
              </w:rPr>
            </w:pPr>
            <w:r>
              <w:rPr>
                <w:rFonts w:ascii="宋体" w:hAnsi="宋体" w:eastAsia="宋体"/>
                <w:szCs w:val="21"/>
              </w:rPr>
              <w:t xml:space="preserve">3.额定阻抗：50Ω</w:t>
            </w:r>
            <w:r/>
          </w:p>
          <w:p>
            <w:pPr>
              <w:spacing w:before="62" w:after="62"/>
              <w:rPr>
                <w:rFonts w:hint="eastAsia" w:ascii="宋体" w:hAnsi="宋体" w:eastAsia="宋体"/>
                <w:szCs w:val="21"/>
              </w:rPr>
            </w:pPr>
            <w:r>
              <w:rPr>
                <w:rFonts w:ascii="宋体" w:hAnsi="宋体" w:eastAsia="宋体"/>
                <w:szCs w:val="21"/>
              </w:rPr>
              <w:t xml:space="preserve">4.射频接口：接插件型号BNC/MCX-KK</w:t>
            </w:r>
            <w:r/>
          </w:p>
          <w:p>
            <w:pPr>
              <w:spacing w:before="62" w:after="62"/>
              <w:rPr>
                <w:rFonts w:hint="eastAsia" w:ascii="宋体" w:hAnsi="宋体" w:eastAsia="宋体"/>
                <w:szCs w:val="21"/>
              </w:rPr>
            </w:pPr>
            <w:r>
              <w:rPr>
                <w:rFonts w:ascii="宋体" w:hAnsi="宋体" w:eastAsia="宋体"/>
                <w:szCs w:val="21"/>
              </w:rPr>
              <w:t xml:space="preserve">5.天线功率容限：不小于300W</w:t>
            </w:r>
            <w:r/>
          </w:p>
          <w:p>
            <w:pPr>
              <w:spacing w:before="62" w:after="62"/>
              <w:rPr>
                <w:rFonts w:hint="eastAsia" w:ascii="宋体" w:hAnsi="宋体" w:eastAsia="宋体"/>
                <w:szCs w:val="21"/>
              </w:rPr>
            </w:pPr>
            <w:r>
              <w:rPr>
                <w:rFonts w:ascii="宋体" w:hAnsi="宋体" w:eastAsia="宋体"/>
                <w:szCs w:val="21"/>
              </w:rPr>
              <w:t xml:space="preserve">6.相对增益：≤5dBi</w:t>
            </w:r>
            <w:r/>
          </w:p>
          <w:p>
            <w:pPr>
              <w:spacing w:before="62" w:after="62"/>
              <w:rPr>
                <w:rFonts w:hint="eastAsia" w:ascii="宋体" w:hAnsi="宋体" w:eastAsia="宋体"/>
                <w:szCs w:val="21"/>
              </w:rPr>
            </w:pPr>
            <w:r>
              <w:rPr>
                <w:rFonts w:ascii="宋体" w:hAnsi="宋体" w:eastAsia="宋体"/>
                <w:szCs w:val="21"/>
              </w:rPr>
              <w:t xml:space="preserve">7.驻波比：≤2.0</w:t>
            </w:r>
            <w:r/>
          </w:p>
          <w:p>
            <w:pPr>
              <w:spacing w:before="62" w:after="62"/>
              <w:rPr>
                <w:rFonts w:hint="eastAsia" w:ascii="宋体" w:hAnsi="宋体" w:eastAsia="宋体"/>
                <w:szCs w:val="21"/>
              </w:rPr>
            </w:pPr>
            <w:r>
              <w:rPr>
                <w:rFonts w:ascii="宋体" w:hAnsi="宋体" w:eastAsia="宋体"/>
                <w:szCs w:val="21"/>
              </w:rPr>
              <w:t xml:space="preserve">8.馈线长度：≤38米</w:t>
            </w:r>
            <w:r/>
          </w:p>
          <w:p>
            <w:pPr>
              <w:spacing w:before="62" w:after="62"/>
              <w:rPr>
                <w:rFonts w:hint="eastAsia" w:ascii="宋体" w:hAnsi="宋体" w:eastAsia="宋体"/>
                <w:szCs w:val="21"/>
              </w:rPr>
            </w:pPr>
            <w:r>
              <w:rPr>
                <w:rFonts w:ascii="宋体" w:hAnsi="宋体" w:eastAsia="宋体"/>
                <w:szCs w:val="21"/>
              </w:rPr>
              <w:t xml:space="preserve">9.振子长度：≤28米（可选振子长度：≤22米）</w:t>
            </w:r>
            <w:r/>
          </w:p>
        </w:tc>
        <w:tc>
          <w:tcPr>
            <w:tcW w:w="709" w:type="dxa"/>
            <w:textDirection w:val="lrTb"/>
            <w:noWrap w:val="false"/>
          </w:tcPr>
          <w:p>
            <w:pPr>
              <w:jc w:val="center"/>
              <w:spacing w:before="62" w:after="62"/>
              <w:rPr>
                <w:rFonts w:hint="eastAsia" w:ascii="宋体" w:hAnsi="宋体" w:eastAsia="宋体"/>
                <w:szCs w:val="21"/>
              </w:rPr>
            </w:pPr>
            <w:r>
              <w:rPr>
                <w:rFonts w:hint="eastAsia" w:ascii="宋体" w:hAnsi="宋体" w:eastAsia="宋体"/>
                <w:szCs w:val="21"/>
              </w:rPr>
              <w:t xml:space="preserve">1</w:t>
            </w:r>
            <w:r/>
          </w:p>
        </w:tc>
        <w:tc>
          <w:tcPr>
            <w:tcW w:w="1071" w:type="dxa"/>
            <w:textDirection w:val="lrTb"/>
            <w:noWrap w:val="false"/>
          </w:tcPr>
          <w:p>
            <w:pPr>
              <w:jc w:val="center"/>
              <w:spacing w:before="62" w:after="62"/>
              <w:rPr>
                <w:rFonts w:hint="eastAsia" w:ascii="宋体" w:hAnsi="宋体" w:eastAsia="宋体"/>
                <w:szCs w:val="21"/>
              </w:rPr>
            </w:pPr>
            <w:r>
              <w:rPr>
                <w:rFonts w:hint="eastAsia" w:ascii="宋体" w:hAnsi="宋体" w:eastAsia="宋体"/>
                <w:szCs w:val="21"/>
              </w:rPr>
            </w:r>
            <w:r/>
          </w:p>
        </w:tc>
      </w:tr>
      <w:tr>
        <w:trPr>
          <w:jc w:val="center"/>
        </w:trPr>
        <w:tc>
          <w:tcPr>
            <w:tcW w:w="704" w:type="dxa"/>
            <w:textDirection w:val="lrTb"/>
            <w:noWrap w:val="false"/>
          </w:tcPr>
          <w:p>
            <w:pPr>
              <w:jc w:val="center"/>
              <w:spacing w:before="62" w:after="62"/>
              <w:rPr>
                <w:rFonts w:hint="eastAsia" w:ascii="宋体" w:hAnsi="宋体" w:eastAsia="宋体"/>
                <w:szCs w:val="21"/>
              </w:rPr>
            </w:pPr>
            <w:r>
              <w:rPr>
                <w:rFonts w:hint="eastAsia" w:ascii="宋体" w:hAnsi="宋体" w:eastAsia="宋体"/>
                <w:szCs w:val="21"/>
              </w:rPr>
              <w:t xml:space="preserve">3</w:t>
            </w:r>
            <w:r/>
          </w:p>
        </w:tc>
        <w:tc>
          <w:tcPr>
            <w:tcW w:w="1276" w:type="dxa"/>
            <w:textDirection w:val="lrTb"/>
            <w:noWrap w:val="false"/>
          </w:tcPr>
          <w:p>
            <w:pPr>
              <w:spacing w:before="62" w:after="62"/>
              <w:rPr>
                <w:rFonts w:hint="eastAsia" w:ascii="宋体" w:hAnsi="宋体" w:eastAsia="宋体"/>
                <w:szCs w:val="21"/>
              </w:rPr>
            </w:pPr>
            <w:r>
              <w:rPr>
                <w:rFonts w:hint="eastAsia" w:ascii="宋体" w:hAnsi="宋体" w:eastAsia="宋体"/>
                <w:szCs w:val="21"/>
              </w:rPr>
              <w:t xml:space="preserve">直流稳压电源</w:t>
            </w:r>
            <w:r/>
          </w:p>
        </w:tc>
        <w:tc>
          <w:tcPr>
            <w:tcW w:w="4536" w:type="dxa"/>
            <w:textDirection w:val="lrTb"/>
            <w:noWrap w:val="false"/>
          </w:tcPr>
          <w:p>
            <w:pPr>
              <w:spacing w:before="62" w:after="62"/>
              <w:rPr>
                <w:rFonts w:hint="eastAsia" w:ascii="宋体" w:hAnsi="宋体" w:eastAsia="宋体"/>
                <w:szCs w:val="21"/>
              </w:rPr>
            </w:pPr>
            <w:r>
              <w:rPr>
                <w:rFonts w:ascii="宋体" w:hAnsi="宋体" w:eastAsia="宋体"/>
                <w:szCs w:val="21"/>
              </w:rPr>
              <w:t xml:space="preserve">1.输入电压：交流220V(±10%)50Hz、单相</w:t>
            </w:r>
            <w:r/>
          </w:p>
          <w:p>
            <w:pPr>
              <w:spacing w:before="62" w:after="62"/>
              <w:rPr>
                <w:rFonts w:hint="eastAsia" w:ascii="宋体" w:hAnsi="宋体" w:eastAsia="宋体"/>
                <w:szCs w:val="21"/>
              </w:rPr>
            </w:pPr>
            <w:r>
              <w:rPr>
                <w:rFonts w:ascii="宋体" w:hAnsi="宋体" w:eastAsia="宋体"/>
                <w:szCs w:val="21"/>
              </w:rPr>
              <w:t xml:space="preserve">2.输出特性：直流24V/30A</w:t>
            </w:r>
            <w:r/>
          </w:p>
          <w:p>
            <w:pPr>
              <w:spacing w:before="62" w:after="62"/>
              <w:rPr>
                <w:rFonts w:hint="eastAsia" w:ascii="宋体" w:hAnsi="宋体" w:eastAsia="宋体"/>
                <w:szCs w:val="21"/>
              </w:rPr>
            </w:pPr>
            <w:r>
              <w:rPr>
                <w:rFonts w:ascii="宋体" w:hAnsi="宋体" w:eastAsia="宋体"/>
                <w:szCs w:val="21"/>
              </w:rPr>
              <w:t xml:space="preserve">3.电压调整率:≤1%</w:t>
            </w:r>
            <w:r/>
          </w:p>
          <w:p>
            <w:pPr>
              <w:spacing w:before="62" w:after="62"/>
              <w:rPr>
                <w:rFonts w:hint="eastAsia" w:ascii="宋体" w:hAnsi="宋体" w:eastAsia="宋体"/>
                <w:szCs w:val="21"/>
              </w:rPr>
            </w:pPr>
            <w:r>
              <w:rPr>
                <w:rFonts w:ascii="宋体" w:hAnsi="宋体" w:eastAsia="宋体"/>
                <w:szCs w:val="21"/>
              </w:rPr>
              <w:t xml:space="preserve">4.负载调整率:≤1%</w:t>
            </w:r>
            <w:r/>
          </w:p>
          <w:p>
            <w:pPr>
              <w:spacing w:before="62" w:after="62"/>
              <w:rPr>
                <w:rFonts w:hint="eastAsia" w:ascii="宋体" w:hAnsi="宋体" w:eastAsia="宋体"/>
                <w:szCs w:val="21"/>
              </w:rPr>
            </w:pPr>
            <w:r>
              <w:rPr>
                <w:rFonts w:ascii="宋体" w:hAnsi="宋体" w:eastAsia="宋体"/>
                <w:szCs w:val="21"/>
              </w:rPr>
              <w:t xml:space="preserve">5.输出纹波：Vp-p≤1%或≤10mv</w:t>
            </w:r>
            <w:r/>
          </w:p>
          <w:p>
            <w:pPr>
              <w:spacing w:before="62" w:after="62"/>
              <w:rPr>
                <w:rFonts w:hint="eastAsia" w:ascii="宋体" w:hAnsi="宋体" w:eastAsia="宋体"/>
                <w:szCs w:val="21"/>
              </w:rPr>
            </w:pPr>
            <w:r>
              <w:rPr>
                <w:rFonts w:ascii="宋体" w:hAnsi="宋体" w:eastAsia="宋体"/>
                <w:szCs w:val="21"/>
              </w:rPr>
              <w:t xml:space="preserve">6.效率：≥85%</w:t>
            </w:r>
            <w:r/>
          </w:p>
          <w:p>
            <w:pPr>
              <w:spacing w:before="62" w:after="62"/>
              <w:rPr>
                <w:rFonts w:hint="eastAsia" w:ascii="宋体" w:hAnsi="宋体" w:eastAsia="宋体"/>
                <w:szCs w:val="21"/>
              </w:rPr>
            </w:pPr>
            <w:r>
              <w:rPr>
                <w:rFonts w:ascii="宋体" w:hAnsi="宋体" w:eastAsia="宋体"/>
                <w:szCs w:val="21"/>
              </w:rPr>
              <w:t xml:space="preserve">7.品级：工业级；</w:t>
            </w:r>
            <w:r/>
          </w:p>
          <w:p>
            <w:pPr>
              <w:spacing w:before="62" w:after="62"/>
              <w:rPr>
                <w:rFonts w:hint="eastAsia" w:ascii="宋体" w:hAnsi="宋体" w:eastAsia="宋体"/>
                <w:szCs w:val="21"/>
              </w:rPr>
            </w:pPr>
            <w:r>
              <w:rPr>
                <w:rFonts w:ascii="宋体" w:hAnsi="宋体" w:eastAsia="宋体"/>
                <w:szCs w:val="21"/>
              </w:rPr>
              <w:t xml:space="preserve">8.安全参数要求：</w:t>
            </w:r>
            <w:r/>
          </w:p>
          <w:p>
            <w:pPr>
              <w:spacing w:before="62" w:after="62"/>
              <w:rPr>
                <w:rFonts w:hint="eastAsia" w:ascii="宋体" w:hAnsi="宋体" w:eastAsia="宋体"/>
                <w:szCs w:val="21"/>
              </w:rPr>
            </w:pPr>
            <w:r>
              <w:rPr>
                <w:rFonts w:hint="eastAsia" w:ascii="宋体" w:hAnsi="宋体" w:eastAsia="宋体"/>
                <w:szCs w:val="21"/>
              </w:rPr>
              <w:t xml:space="preserve">绝缘：输入对外壳：</w:t>
            </w:r>
            <w:r>
              <w:rPr>
                <w:rFonts w:ascii="宋体" w:hAnsi="宋体" w:eastAsia="宋体"/>
                <w:szCs w:val="21"/>
              </w:rPr>
              <w:t xml:space="preserve">DC1000V≥200MΩ；输入对输出：DC1000V≥200MΩ；输出对外壳：DC250V≥200MΩ</w:t>
            </w:r>
            <w:r/>
          </w:p>
          <w:p>
            <w:pPr>
              <w:spacing w:before="62" w:after="62"/>
              <w:rPr>
                <w:rFonts w:hint="eastAsia" w:ascii="宋体" w:hAnsi="宋体" w:eastAsia="宋体"/>
                <w:szCs w:val="21"/>
              </w:rPr>
            </w:pPr>
            <w:r>
              <w:rPr>
                <w:rFonts w:ascii="宋体" w:hAnsi="宋体" w:eastAsia="宋体"/>
                <w:szCs w:val="21"/>
              </w:rPr>
              <w:t xml:space="preserve">9.电源具有输出过压保护、输出过流保护与短路保护</w:t>
            </w:r>
            <w:r/>
          </w:p>
          <w:p>
            <w:pPr>
              <w:spacing w:before="62" w:after="62"/>
              <w:rPr>
                <w:rFonts w:hint="eastAsia" w:ascii="宋体" w:hAnsi="宋体" w:eastAsia="宋体"/>
                <w:szCs w:val="21"/>
              </w:rPr>
            </w:pPr>
            <w:r>
              <w:rPr>
                <w:rFonts w:ascii="宋体" w:hAnsi="宋体" w:eastAsia="宋体"/>
                <w:szCs w:val="21"/>
              </w:rPr>
              <w:t xml:space="preserve">10.电源具有输出过热保护；</w:t>
            </w:r>
            <w:r/>
          </w:p>
          <w:p>
            <w:pPr>
              <w:spacing w:before="62" w:after="62"/>
              <w:rPr>
                <w:rFonts w:hint="eastAsia" w:ascii="宋体" w:hAnsi="宋体" w:eastAsia="宋体"/>
                <w:szCs w:val="21"/>
              </w:rPr>
            </w:pPr>
            <w:r>
              <w:rPr>
                <w:rFonts w:ascii="宋体" w:hAnsi="宋体" w:eastAsia="宋体"/>
                <w:szCs w:val="21"/>
              </w:rPr>
              <w:t xml:space="preserve">11.电源具有故障反馈信号；</w:t>
            </w:r>
            <w:r/>
          </w:p>
          <w:p>
            <w:pPr>
              <w:spacing w:before="62" w:after="62"/>
              <w:rPr>
                <w:rFonts w:hint="eastAsia" w:ascii="宋体" w:hAnsi="宋体" w:eastAsia="宋体"/>
                <w:szCs w:val="21"/>
              </w:rPr>
            </w:pPr>
            <w:r>
              <w:rPr>
                <w:rFonts w:ascii="宋体" w:hAnsi="宋体" w:eastAsia="宋体"/>
                <w:szCs w:val="21"/>
              </w:rPr>
              <w:t xml:space="preserve">12.电源具有并联使用功能</w:t>
            </w:r>
            <w:r/>
          </w:p>
          <w:p>
            <w:pPr>
              <w:spacing w:before="62" w:after="62"/>
              <w:rPr>
                <w:rFonts w:hint="eastAsia" w:ascii="宋体" w:hAnsi="宋体" w:eastAsia="宋体"/>
                <w:szCs w:val="21"/>
              </w:rPr>
            </w:pPr>
            <w:r>
              <w:rPr>
                <w:rFonts w:ascii="宋体" w:hAnsi="宋体" w:eastAsia="宋体"/>
                <w:szCs w:val="21"/>
              </w:rPr>
              <w:t xml:space="preserve">13.工作环境条件</w:t>
            </w:r>
            <w:r/>
          </w:p>
          <w:p>
            <w:pPr>
              <w:spacing w:before="62" w:after="62"/>
              <w:rPr>
                <w:rFonts w:hint="eastAsia" w:ascii="宋体" w:hAnsi="宋体" w:eastAsia="宋体"/>
                <w:szCs w:val="21"/>
              </w:rPr>
            </w:pPr>
            <w:r>
              <w:rPr>
                <w:rFonts w:hint="eastAsia" w:ascii="宋体" w:hAnsi="宋体" w:eastAsia="宋体"/>
                <w:szCs w:val="21"/>
              </w:rPr>
              <w:t xml:space="preserve">工作环境温度：</w:t>
            </w:r>
            <w:r>
              <w:rPr>
                <w:rFonts w:ascii="宋体" w:hAnsi="宋体" w:eastAsia="宋体"/>
                <w:szCs w:val="21"/>
              </w:rPr>
              <w:t xml:space="preserve">-25℃～+60℃</w:t>
            </w:r>
            <w:r/>
          </w:p>
          <w:p>
            <w:pPr>
              <w:spacing w:before="62" w:after="62"/>
              <w:rPr>
                <w:rFonts w:hint="eastAsia" w:ascii="宋体" w:hAnsi="宋体" w:eastAsia="宋体"/>
                <w:szCs w:val="21"/>
              </w:rPr>
            </w:pPr>
            <w:r>
              <w:rPr>
                <w:rFonts w:hint="eastAsia" w:ascii="宋体" w:hAnsi="宋体" w:eastAsia="宋体"/>
                <w:szCs w:val="21"/>
              </w:rPr>
              <w:t xml:space="preserve">储存温度：</w:t>
            </w:r>
            <w:r>
              <w:rPr>
                <w:rFonts w:ascii="宋体" w:hAnsi="宋体" w:eastAsia="宋体"/>
                <w:szCs w:val="21"/>
              </w:rPr>
              <w:t xml:space="preserve">-40℃～+75℃</w:t>
            </w:r>
            <w:r/>
          </w:p>
          <w:p>
            <w:pPr>
              <w:spacing w:before="62" w:after="62"/>
              <w:rPr>
                <w:rFonts w:hint="eastAsia" w:ascii="宋体" w:hAnsi="宋体" w:eastAsia="宋体"/>
                <w:szCs w:val="21"/>
              </w:rPr>
            </w:pPr>
            <w:r>
              <w:rPr>
                <w:rFonts w:hint="eastAsia" w:ascii="宋体" w:hAnsi="宋体" w:eastAsia="宋体"/>
                <w:szCs w:val="21"/>
              </w:rPr>
              <w:t xml:space="preserve">相对湿度：</w:t>
            </w:r>
            <w:r>
              <w:rPr>
                <w:rFonts w:ascii="宋体" w:hAnsi="宋体" w:eastAsia="宋体"/>
                <w:szCs w:val="21"/>
              </w:rPr>
              <w:t xml:space="preserve">20-95%无冷凝；</w:t>
            </w:r>
            <w:r/>
          </w:p>
          <w:p>
            <w:pPr>
              <w:spacing w:before="62" w:after="62"/>
              <w:rPr>
                <w:rFonts w:hint="eastAsia" w:ascii="宋体" w:hAnsi="宋体" w:eastAsia="宋体"/>
                <w:szCs w:val="21"/>
              </w:rPr>
            </w:pPr>
            <w:r>
              <w:rPr>
                <w:rFonts w:hint="eastAsia" w:ascii="宋体" w:hAnsi="宋体" w:eastAsia="宋体"/>
                <w:szCs w:val="21"/>
              </w:rPr>
              <w:t xml:space="preserve">冷却形式：强制风冷</w:t>
            </w:r>
            <w:r/>
          </w:p>
          <w:p>
            <w:pPr>
              <w:spacing w:before="62" w:after="62"/>
              <w:rPr>
                <w:rFonts w:hint="eastAsia" w:ascii="宋体" w:hAnsi="宋体" w:eastAsia="宋体"/>
                <w:szCs w:val="21"/>
              </w:rPr>
            </w:pPr>
            <w:r>
              <w:rPr>
                <w:rFonts w:ascii="宋体" w:hAnsi="宋体" w:eastAsia="宋体"/>
                <w:szCs w:val="21"/>
              </w:rPr>
              <w:t xml:space="preserve">14.纹波：≤10mv。</w:t>
            </w:r>
            <w:r/>
          </w:p>
        </w:tc>
        <w:tc>
          <w:tcPr>
            <w:tcW w:w="709" w:type="dxa"/>
            <w:textDirection w:val="lrTb"/>
            <w:noWrap w:val="false"/>
          </w:tcPr>
          <w:p>
            <w:pPr>
              <w:jc w:val="center"/>
              <w:spacing w:before="62" w:after="62"/>
              <w:rPr>
                <w:rFonts w:hint="eastAsia" w:ascii="宋体" w:hAnsi="宋体" w:eastAsia="宋体"/>
                <w:szCs w:val="21"/>
              </w:rPr>
            </w:pPr>
            <w:r>
              <w:rPr>
                <w:rFonts w:hint="eastAsia" w:ascii="宋体" w:hAnsi="宋体" w:eastAsia="宋体"/>
                <w:szCs w:val="21"/>
              </w:rPr>
              <w:t xml:space="preserve">1</w:t>
            </w:r>
            <w:r/>
          </w:p>
        </w:tc>
        <w:tc>
          <w:tcPr>
            <w:tcW w:w="1071" w:type="dxa"/>
            <w:textDirection w:val="lrTb"/>
            <w:noWrap w:val="false"/>
          </w:tcPr>
          <w:p>
            <w:pPr>
              <w:jc w:val="center"/>
              <w:spacing w:before="62" w:after="62"/>
              <w:rPr>
                <w:rFonts w:hint="eastAsia" w:ascii="宋体" w:hAnsi="宋体" w:eastAsia="宋体"/>
                <w:szCs w:val="21"/>
              </w:rPr>
            </w:pPr>
            <w:r>
              <w:rPr>
                <w:rFonts w:hint="eastAsia" w:ascii="宋体" w:hAnsi="宋体" w:eastAsia="宋体"/>
                <w:szCs w:val="21"/>
              </w:rPr>
            </w:r>
            <w:r/>
          </w:p>
        </w:tc>
      </w:tr>
      <w:tr>
        <w:trPr>
          <w:jc w:val="center"/>
        </w:trPr>
        <w:tc>
          <w:tcPr>
            <w:tcW w:w="704" w:type="dxa"/>
            <w:textDirection w:val="lrTb"/>
            <w:noWrap w:val="false"/>
          </w:tcPr>
          <w:p>
            <w:pPr>
              <w:jc w:val="center"/>
              <w:spacing w:before="62" w:after="62"/>
              <w:rPr>
                <w:rFonts w:hint="eastAsia" w:ascii="宋体" w:hAnsi="宋体" w:eastAsia="宋体"/>
                <w:szCs w:val="21"/>
              </w:rPr>
            </w:pPr>
            <w:r>
              <w:rPr>
                <w:rFonts w:hint="eastAsia" w:ascii="宋体" w:hAnsi="宋体" w:eastAsia="宋体"/>
                <w:szCs w:val="21"/>
              </w:rPr>
              <w:t xml:space="preserve">4</w:t>
            </w:r>
            <w:r/>
          </w:p>
        </w:tc>
        <w:tc>
          <w:tcPr>
            <w:tcW w:w="1276" w:type="dxa"/>
            <w:textDirection w:val="lrTb"/>
            <w:noWrap w:val="false"/>
          </w:tcPr>
          <w:p>
            <w:pPr>
              <w:spacing w:before="62" w:after="62"/>
              <w:rPr>
                <w:rFonts w:hint="eastAsia" w:ascii="宋体" w:hAnsi="宋体" w:eastAsia="宋体"/>
                <w:szCs w:val="21"/>
              </w:rPr>
            </w:pPr>
            <w:r>
              <w:rPr>
                <w:rFonts w:hint="eastAsia" w:ascii="宋体" w:hAnsi="宋体" w:eastAsia="宋体"/>
                <w:szCs w:val="21"/>
              </w:rPr>
              <w:t xml:space="preserve">短波电台数传软件</w:t>
            </w:r>
            <w:r/>
          </w:p>
        </w:tc>
        <w:tc>
          <w:tcPr>
            <w:tcW w:w="4536" w:type="dxa"/>
            <w:textDirection w:val="lrTb"/>
            <w:noWrap w:val="false"/>
          </w:tcPr>
          <w:p>
            <w:pPr>
              <w:spacing w:before="62" w:after="62"/>
              <w:rPr>
                <w:rFonts w:hint="eastAsia" w:ascii="宋体" w:hAnsi="宋体" w:eastAsia="宋体"/>
                <w:szCs w:val="21"/>
              </w:rPr>
            </w:pPr>
            <w:r>
              <w:rPr>
                <w:rFonts w:ascii="宋体" w:hAnsi="宋体" w:eastAsia="宋体"/>
                <w:szCs w:val="21"/>
              </w:rPr>
              <w:t xml:space="preserve">1.实时态势：通过电子地图可获取移动电台地理位置，支持轨迹查看和经纬度查询</w:t>
            </w:r>
            <w:r>
              <w:rPr>
                <w:rFonts w:hint="eastAsia" w:ascii="宋体" w:hAnsi="宋体" w:eastAsia="宋体"/>
                <w:szCs w:val="21"/>
              </w:rPr>
              <w:t xml:space="preserve">；</w:t>
            </w:r>
            <w:r/>
          </w:p>
          <w:p>
            <w:pPr>
              <w:spacing w:before="62" w:after="62"/>
              <w:rPr>
                <w:rFonts w:hint="eastAsia" w:ascii="宋体" w:hAnsi="宋体" w:eastAsia="宋体"/>
                <w:szCs w:val="21"/>
              </w:rPr>
            </w:pPr>
            <w:r>
              <w:rPr>
                <w:rFonts w:ascii="宋体" w:hAnsi="宋体" w:eastAsia="宋体"/>
                <w:szCs w:val="21"/>
              </w:rPr>
              <w:t xml:space="preserve">2.呼叫操作：支持微信探测、快速建链、步进探测、优选建链、指配优先等呼叫方式进行呼叫</w:t>
            </w:r>
            <w:r>
              <w:rPr>
                <w:rFonts w:hint="eastAsia" w:ascii="宋体" w:hAnsi="宋体" w:eastAsia="宋体"/>
                <w:szCs w:val="21"/>
              </w:rPr>
              <w:t xml:space="preserve">；</w:t>
            </w:r>
            <w:r/>
          </w:p>
          <w:p>
            <w:pPr>
              <w:spacing w:before="62" w:after="62"/>
              <w:rPr>
                <w:rFonts w:hint="eastAsia" w:ascii="宋体" w:hAnsi="宋体" w:eastAsia="宋体"/>
                <w:szCs w:val="21"/>
              </w:rPr>
            </w:pPr>
            <w:r>
              <w:rPr>
                <w:rFonts w:ascii="宋体" w:hAnsi="宋体" w:eastAsia="宋体"/>
                <w:szCs w:val="21"/>
              </w:rPr>
              <w:t xml:space="preserve">3.短信发送和接收：支持双方发送简单的、无格式的纯文字短信息（最大支持500字节）</w:t>
            </w:r>
            <w:r>
              <w:rPr>
                <w:rFonts w:hint="eastAsia" w:ascii="宋体" w:hAnsi="宋体" w:eastAsia="宋体"/>
                <w:szCs w:val="21"/>
              </w:rPr>
              <w:t xml:space="preserve">；</w:t>
            </w:r>
            <w:r/>
          </w:p>
          <w:p>
            <w:pPr>
              <w:spacing w:before="62" w:after="62"/>
              <w:rPr>
                <w:rFonts w:hint="eastAsia" w:ascii="宋体" w:hAnsi="宋体" w:eastAsia="宋体"/>
                <w:szCs w:val="21"/>
              </w:rPr>
            </w:pPr>
            <w:r>
              <w:rPr>
                <w:rFonts w:ascii="宋体" w:hAnsi="宋体" w:eastAsia="宋体"/>
                <w:szCs w:val="21"/>
              </w:rPr>
              <w:t xml:space="preserve">4.代码传输功能：支持代码的增加、编辑、删除、存储、发送、接收；</w:t>
            </w:r>
            <w:r/>
          </w:p>
          <w:p>
            <w:pPr>
              <w:spacing w:before="62" w:after="62"/>
              <w:rPr>
                <w:rFonts w:hint="eastAsia" w:ascii="宋体" w:hAnsi="宋体" w:eastAsia="宋体"/>
                <w:szCs w:val="21"/>
              </w:rPr>
            </w:pPr>
            <w:r>
              <w:rPr>
                <w:rFonts w:ascii="宋体" w:hAnsi="宋体" w:eastAsia="宋体"/>
                <w:szCs w:val="21"/>
              </w:rPr>
              <w:t xml:space="preserve">5.报文传输：按照报文格式传输电报信息</w:t>
            </w:r>
            <w:r>
              <w:rPr>
                <w:rFonts w:hint="eastAsia" w:ascii="宋体" w:hAnsi="宋体" w:eastAsia="宋体"/>
                <w:szCs w:val="21"/>
              </w:rPr>
              <w:t xml:space="preserve">；</w:t>
            </w:r>
            <w:r/>
          </w:p>
          <w:p>
            <w:pPr>
              <w:spacing w:before="62" w:after="62"/>
              <w:rPr>
                <w:rFonts w:hint="eastAsia" w:ascii="宋体" w:hAnsi="宋体" w:eastAsia="宋体"/>
                <w:szCs w:val="21"/>
              </w:rPr>
            </w:pPr>
            <w:r>
              <w:rPr>
                <w:rFonts w:ascii="宋体" w:hAnsi="宋体" w:eastAsia="宋体"/>
                <w:szCs w:val="21"/>
              </w:rPr>
              <w:t xml:space="preserve">6.数据传输：可发送和接收电子文件</w:t>
            </w:r>
            <w:r>
              <w:rPr>
                <w:rFonts w:hint="eastAsia" w:ascii="宋体" w:hAnsi="宋体" w:eastAsia="宋体"/>
                <w:szCs w:val="21"/>
              </w:rPr>
              <w:t xml:space="preserve">；</w:t>
            </w:r>
            <w:r/>
          </w:p>
          <w:p>
            <w:pPr>
              <w:spacing w:before="62" w:after="62"/>
              <w:rPr>
                <w:rFonts w:hint="eastAsia" w:ascii="宋体" w:hAnsi="宋体" w:eastAsia="宋体"/>
                <w:szCs w:val="21"/>
              </w:rPr>
            </w:pPr>
            <w:r>
              <w:rPr>
                <w:rFonts w:hint="eastAsia" w:ascii="宋体" w:hAnsi="宋体" w:eastAsia="宋体"/>
                <w:szCs w:val="21"/>
              </w:rPr>
              <w:t xml:space="preserve">7.</w:t>
            </w:r>
            <w:r>
              <w:rPr>
                <w:rFonts w:ascii="宋体" w:hAnsi="宋体" w:eastAsia="宋体"/>
                <w:szCs w:val="21"/>
              </w:rPr>
              <w:t xml:space="preserve">▲</w:t>
            </w:r>
            <w:r>
              <w:rPr>
                <w:rFonts w:hint="eastAsia" w:ascii="宋体" w:hAnsi="宋体" w:eastAsia="宋体"/>
                <w:szCs w:val="21"/>
              </w:rPr>
              <w:t xml:space="preserve">可支持在国产系统上运行操作。</w:t>
            </w:r>
            <w:r/>
          </w:p>
        </w:tc>
        <w:tc>
          <w:tcPr>
            <w:tcW w:w="709" w:type="dxa"/>
            <w:textDirection w:val="lrTb"/>
            <w:noWrap w:val="false"/>
          </w:tcPr>
          <w:p>
            <w:pPr>
              <w:jc w:val="center"/>
              <w:spacing w:before="62" w:after="62"/>
              <w:rPr>
                <w:rFonts w:hint="eastAsia" w:ascii="宋体" w:hAnsi="宋体" w:eastAsia="宋体"/>
                <w:szCs w:val="21"/>
              </w:rPr>
            </w:pPr>
            <w:r>
              <w:rPr>
                <w:rFonts w:hint="eastAsia" w:ascii="宋体" w:hAnsi="宋体" w:eastAsia="宋体"/>
                <w:szCs w:val="21"/>
              </w:rPr>
              <w:t xml:space="preserve">1</w:t>
            </w:r>
            <w:r/>
          </w:p>
        </w:tc>
        <w:tc>
          <w:tcPr>
            <w:tcW w:w="1071" w:type="dxa"/>
            <w:textDirection w:val="lrTb"/>
            <w:noWrap w:val="false"/>
          </w:tcPr>
          <w:p>
            <w:pPr>
              <w:jc w:val="left"/>
              <w:spacing w:before="62" w:after="62"/>
              <w:rPr>
                <w:rFonts w:hint="eastAsia" w:ascii="宋体" w:hAnsi="宋体" w:eastAsia="宋体"/>
                <w:szCs w:val="21"/>
              </w:rPr>
            </w:pPr>
            <w:r>
              <w:rPr>
                <w:rFonts w:hint="eastAsia" w:ascii="宋体" w:hAnsi="宋体"/>
                <w:color w:val="000000"/>
                <w:szCs w:val="21"/>
              </w:rPr>
              <w:t xml:space="preserve">投标人须提供功能截图加盖公章</w:t>
            </w:r>
            <w:r/>
          </w:p>
        </w:tc>
      </w:tr>
      <w:tr>
        <w:trPr>
          <w:jc w:val="center"/>
        </w:trPr>
        <w:tc>
          <w:tcPr>
            <w:tcW w:w="704" w:type="dxa"/>
            <w:textDirection w:val="lrTb"/>
            <w:noWrap w:val="false"/>
          </w:tcPr>
          <w:p>
            <w:pPr>
              <w:jc w:val="center"/>
              <w:spacing w:before="62" w:after="62"/>
              <w:rPr>
                <w:rFonts w:hint="eastAsia" w:ascii="宋体" w:hAnsi="宋体" w:eastAsia="宋体"/>
                <w:szCs w:val="21"/>
              </w:rPr>
            </w:pPr>
            <w:r>
              <w:rPr>
                <w:rFonts w:hint="eastAsia" w:ascii="宋体" w:hAnsi="宋体" w:eastAsia="宋体"/>
                <w:szCs w:val="21"/>
              </w:rPr>
              <w:t xml:space="preserve">5</w:t>
            </w:r>
            <w:r/>
          </w:p>
        </w:tc>
        <w:tc>
          <w:tcPr>
            <w:tcW w:w="1276" w:type="dxa"/>
            <w:textDirection w:val="lrTb"/>
            <w:noWrap w:val="false"/>
          </w:tcPr>
          <w:p>
            <w:pPr>
              <w:spacing w:before="62" w:after="62"/>
              <w:rPr>
                <w:rFonts w:hint="eastAsia" w:ascii="宋体" w:hAnsi="宋体" w:eastAsia="宋体"/>
                <w:szCs w:val="21"/>
              </w:rPr>
            </w:pPr>
            <w:r>
              <w:rPr>
                <w:rFonts w:hint="eastAsia" w:ascii="宋体" w:hAnsi="宋体" w:eastAsia="宋体"/>
                <w:szCs w:val="21"/>
              </w:rPr>
              <w:t xml:space="preserve">短波电台数传台式电脑</w:t>
            </w:r>
            <w:r/>
          </w:p>
        </w:tc>
        <w:tc>
          <w:tcPr>
            <w:tcW w:w="4536" w:type="dxa"/>
            <w:textDirection w:val="lrTb"/>
            <w:noWrap w:val="false"/>
          </w:tcPr>
          <w:p>
            <w:pPr>
              <w:jc w:val="left"/>
              <w:spacing w:before="62" w:after="62"/>
              <w:rPr>
                <w:rFonts w:hint="eastAsia" w:ascii="宋体" w:hAnsi="宋体" w:eastAsia="宋体"/>
                <w:szCs w:val="21"/>
              </w:rPr>
            </w:pPr>
            <w:r>
              <w:rPr>
                <w:rFonts w:hint="eastAsia" w:ascii="宋体" w:hAnsi="宋体" w:eastAsia="宋体"/>
                <w:szCs w:val="21"/>
              </w:rPr>
              <w:t xml:space="preserve">1.机型：≤11L可立可卧、免工具拆卸</w:t>
            </w:r>
            <w:r/>
          </w:p>
          <w:p>
            <w:pPr>
              <w:jc w:val="left"/>
              <w:spacing w:before="62" w:after="62"/>
              <w:rPr>
                <w:rFonts w:hint="eastAsia" w:ascii="宋体" w:hAnsi="宋体" w:eastAsia="宋体"/>
                <w:szCs w:val="21"/>
              </w:rPr>
            </w:pPr>
            <w:r>
              <w:rPr>
                <w:rFonts w:hint="eastAsia" w:ascii="宋体" w:hAnsi="宋体" w:eastAsia="宋体"/>
                <w:szCs w:val="21"/>
              </w:rPr>
              <w:t xml:space="preserve">2.处理器：国产CPU，八核，主频2.7GHz</w:t>
            </w:r>
            <w:r/>
          </w:p>
          <w:p>
            <w:pPr>
              <w:jc w:val="left"/>
              <w:spacing w:before="62" w:after="62"/>
              <w:rPr>
                <w:rFonts w:hint="eastAsia" w:ascii="宋体" w:hAnsi="宋体" w:eastAsia="宋体"/>
                <w:szCs w:val="21"/>
              </w:rPr>
            </w:pPr>
            <w:r>
              <w:rPr>
                <w:rFonts w:hint="eastAsia" w:ascii="宋体" w:hAnsi="宋体" w:eastAsia="宋体"/>
                <w:szCs w:val="21"/>
              </w:rPr>
              <w:t xml:space="preserve">3.内存：标配 8G DDR4，2个内存插槽</w:t>
            </w:r>
            <w:r/>
          </w:p>
          <w:p>
            <w:pPr>
              <w:jc w:val="left"/>
              <w:spacing w:before="62" w:after="62"/>
              <w:rPr>
                <w:rFonts w:hint="eastAsia" w:ascii="宋体" w:hAnsi="宋体" w:eastAsia="宋体"/>
                <w:szCs w:val="21"/>
              </w:rPr>
            </w:pPr>
            <w:r>
              <w:rPr>
                <w:rFonts w:hint="eastAsia" w:ascii="宋体" w:hAnsi="宋体" w:eastAsia="宋体"/>
                <w:szCs w:val="21"/>
              </w:rPr>
              <w:t xml:space="preserve">4.显卡：2G独立显卡，格兰菲GT1020，支持VGA/HDMI输出</w:t>
            </w:r>
            <w:r/>
          </w:p>
          <w:p>
            <w:pPr>
              <w:jc w:val="left"/>
              <w:spacing w:before="62" w:after="62"/>
              <w:rPr>
                <w:rFonts w:hint="eastAsia" w:ascii="宋体" w:hAnsi="宋体" w:eastAsia="宋体"/>
                <w:szCs w:val="21"/>
              </w:rPr>
            </w:pPr>
            <w:r>
              <w:rPr>
                <w:rFonts w:hint="eastAsia" w:ascii="宋体" w:hAnsi="宋体" w:eastAsia="宋体"/>
                <w:szCs w:val="21"/>
              </w:rPr>
              <w:t xml:space="preserve">5.光驱：DVD-RW</w:t>
            </w:r>
            <w:r/>
          </w:p>
          <w:p>
            <w:pPr>
              <w:jc w:val="left"/>
              <w:spacing w:before="62" w:after="62"/>
              <w:rPr>
                <w:rFonts w:hint="eastAsia" w:ascii="宋体" w:hAnsi="宋体" w:eastAsia="宋体"/>
                <w:szCs w:val="21"/>
              </w:rPr>
            </w:pPr>
            <w:r>
              <w:rPr>
                <w:rFonts w:hint="eastAsia" w:ascii="宋体" w:hAnsi="宋体" w:eastAsia="宋体"/>
                <w:szCs w:val="21"/>
              </w:rPr>
              <w:t xml:space="preserve">6.硬盘：256GB SSD+1TB机械硬盘</w:t>
            </w:r>
            <w:r/>
          </w:p>
          <w:p>
            <w:pPr>
              <w:jc w:val="left"/>
              <w:spacing w:before="62" w:after="62"/>
              <w:rPr>
                <w:rFonts w:hint="eastAsia" w:ascii="宋体" w:hAnsi="宋体" w:eastAsia="宋体"/>
                <w:szCs w:val="21"/>
              </w:rPr>
            </w:pPr>
            <w:r>
              <w:rPr>
                <w:rFonts w:hint="eastAsia" w:ascii="宋体" w:hAnsi="宋体" w:eastAsia="宋体"/>
                <w:szCs w:val="21"/>
              </w:rPr>
              <w:t xml:space="preserve">7.网卡：10M/100M/1000M自适应以太网卡</w:t>
            </w:r>
            <w:r/>
          </w:p>
          <w:p>
            <w:pPr>
              <w:jc w:val="left"/>
              <w:spacing w:before="62" w:after="62"/>
              <w:rPr>
                <w:rFonts w:hint="eastAsia" w:ascii="宋体" w:hAnsi="宋体" w:eastAsia="宋体"/>
                <w:szCs w:val="21"/>
              </w:rPr>
            </w:pPr>
            <w:r>
              <w:rPr>
                <w:rFonts w:hint="eastAsia" w:ascii="宋体" w:hAnsi="宋体" w:eastAsia="宋体"/>
                <w:szCs w:val="21"/>
              </w:rPr>
              <w:t xml:space="preserve">8.音频控制器：5.1声道声卡</w:t>
            </w:r>
            <w:r/>
          </w:p>
          <w:p>
            <w:pPr>
              <w:jc w:val="left"/>
              <w:spacing w:before="62" w:after="62"/>
              <w:rPr>
                <w:rFonts w:hint="eastAsia" w:ascii="宋体" w:hAnsi="宋体" w:eastAsia="宋体"/>
                <w:szCs w:val="21"/>
              </w:rPr>
            </w:pPr>
            <w:r>
              <w:rPr>
                <w:rFonts w:hint="eastAsia" w:ascii="宋体" w:hAnsi="宋体" w:eastAsia="宋体"/>
                <w:szCs w:val="21"/>
              </w:rPr>
              <w:t xml:space="preserve">9.接口：4*USB3.0、4*USB 2.0 、1*串口</w:t>
            </w:r>
            <w:r/>
          </w:p>
          <w:p>
            <w:pPr>
              <w:jc w:val="left"/>
              <w:spacing w:before="62" w:after="62"/>
              <w:rPr>
                <w:rFonts w:hint="eastAsia" w:ascii="宋体" w:hAnsi="宋体" w:eastAsia="宋体"/>
                <w:szCs w:val="21"/>
              </w:rPr>
            </w:pPr>
            <w:r>
              <w:rPr>
                <w:rFonts w:hint="eastAsia" w:ascii="宋体" w:hAnsi="宋体" w:eastAsia="宋体"/>
                <w:szCs w:val="21"/>
              </w:rPr>
              <w:t xml:space="preserve">10.扩展卡槽：2*PCle X1、1*PCle X16、3*SATA3.0、1*M.2 2280接口</w:t>
            </w:r>
            <w:r/>
          </w:p>
          <w:p>
            <w:pPr>
              <w:jc w:val="left"/>
              <w:spacing w:before="62" w:after="62"/>
              <w:rPr>
                <w:rFonts w:hint="eastAsia" w:ascii="宋体" w:hAnsi="宋体" w:eastAsia="宋体"/>
                <w:szCs w:val="21"/>
              </w:rPr>
            </w:pPr>
            <w:r>
              <w:rPr>
                <w:rFonts w:hint="eastAsia" w:ascii="宋体" w:hAnsi="宋体" w:eastAsia="宋体"/>
                <w:szCs w:val="21"/>
              </w:rPr>
              <w:t xml:space="preserve">11.键鼠：USB 光电鼠标</w:t>
            </w:r>
            <w:r/>
          </w:p>
          <w:p>
            <w:pPr>
              <w:jc w:val="left"/>
              <w:spacing w:before="62" w:after="62"/>
              <w:rPr>
                <w:rFonts w:hint="eastAsia" w:ascii="宋体" w:hAnsi="宋体" w:eastAsia="宋体"/>
                <w:szCs w:val="21"/>
              </w:rPr>
            </w:pPr>
            <w:r>
              <w:rPr>
                <w:rFonts w:hint="eastAsia" w:ascii="宋体" w:hAnsi="宋体" w:eastAsia="宋体"/>
                <w:szCs w:val="21"/>
              </w:rPr>
              <w:t xml:space="preserve">USB 防水标准键盘</w:t>
            </w:r>
            <w:r/>
          </w:p>
          <w:p>
            <w:pPr>
              <w:jc w:val="left"/>
              <w:spacing w:before="62" w:after="62"/>
              <w:rPr>
                <w:rFonts w:hint="eastAsia" w:ascii="宋体" w:hAnsi="宋体" w:eastAsia="宋体"/>
                <w:szCs w:val="21"/>
              </w:rPr>
            </w:pPr>
            <w:r>
              <w:rPr>
                <w:rFonts w:hint="eastAsia" w:ascii="宋体" w:hAnsi="宋体" w:eastAsia="宋体"/>
                <w:szCs w:val="21"/>
              </w:rPr>
              <w:t xml:space="preserve">12.操作系统：兼容 统信、麒麟、方德系统</w:t>
            </w:r>
            <w:r/>
          </w:p>
          <w:p>
            <w:pPr>
              <w:jc w:val="left"/>
              <w:spacing w:before="62" w:after="62"/>
              <w:rPr>
                <w:rFonts w:hint="eastAsia" w:ascii="宋体" w:hAnsi="宋体" w:eastAsia="宋体"/>
                <w:szCs w:val="21"/>
              </w:rPr>
            </w:pPr>
            <w:r>
              <w:rPr>
                <w:rFonts w:hint="eastAsia" w:ascii="宋体" w:hAnsi="宋体" w:eastAsia="宋体"/>
                <w:szCs w:val="21"/>
              </w:rPr>
              <w:t xml:space="preserve">13.电源：200W</w:t>
            </w:r>
            <w:r/>
          </w:p>
          <w:p>
            <w:pPr>
              <w:jc w:val="left"/>
              <w:spacing w:before="62" w:after="62"/>
              <w:rPr>
                <w:rFonts w:hint="eastAsia" w:ascii="宋体" w:hAnsi="宋体" w:eastAsia="宋体"/>
                <w:szCs w:val="21"/>
              </w:rPr>
            </w:pPr>
            <w:r>
              <w:rPr>
                <w:rFonts w:hint="eastAsia" w:ascii="宋体" w:hAnsi="宋体" w:eastAsia="宋体"/>
                <w:szCs w:val="21"/>
              </w:rPr>
              <w:t xml:space="preserve">14.产品认证：通过国家强制性CCC、节能认证、环境认证、MTBF平均无故障时间50万小时、静电(雷击)认证、噪音认证等</w:t>
            </w:r>
            <w:r/>
          </w:p>
        </w:tc>
        <w:tc>
          <w:tcPr>
            <w:tcW w:w="709" w:type="dxa"/>
            <w:textDirection w:val="lrTb"/>
            <w:noWrap w:val="false"/>
          </w:tcPr>
          <w:p>
            <w:pPr>
              <w:jc w:val="center"/>
              <w:spacing w:before="62" w:after="62"/>
              <w:rPr>
                <w:rFonts w:hint="eastAsia" w:ascii="宋体" w:hAnsi="宋体" w:eastAsia="宋体"/>
                <w:szCs w:val="21"/>
              </w:rPr>
            </w:pPr>
            <w:r>
              <w:rPr>
                <w:rFonts w:hint="eastAsia" w:ascii="宋体" w:hAnsi="宋体" w:eastAsia="宋体"/>
                <w:szCs w:val="21"/>
              </w:rPr>
              <w:t xml:space="preserve">1</w:t>
            </w:r>
            <w:r/>
          </w:p>
        </w:tc>
        <w:tc>
          <w:tcPr>
            <w:tcW w:w="1071" w:type="dxa"/>
            <w:textDirection w:val="lrTb"/>
            <w:noWrap w:val="false"/>
          </w:tcPr>
          <w:p>
            <w:pPr>
              <w:jc w:val="center"/>
              <w:spacing w:before="62" w:after="62"/>
              <w:rPr>
                <w:rFonts w:hint="eastAsia" w:ascii="宋体" w:hAnsi="宋体" w:eastAsia="宋体"/>
                <w:szCs w:val="21"/>
              </w:rPr>
            </w:pPr>
            <w:r>
              <w:rPr>
                <w:rFonts w:hint="eastAsia" w:ascii="宋体" w:hAnsi="宋体" w:eastAsia="宋体"/>
                <w:szCs w:val="21"/>
              </w:rPr>
            </w:r>
            <w:r/>
          </w:p>
        </w:tc>
      </w:tr>
      <w:tr>
        <w:trPr>
          <w:jc w:val="center"/>
        </w:trPr>
        <w:tc>
          <w:tcPr>
            <w:tcW w:w="704" w:type="dxa"/>
            <w:textDirection w:val="lrTb"/>
            <w:noWrap w:val="false"/>
          </w:tcPr>
          <w:p>
            <w:pPr>
              <w:jc w:val="center"/>
              <w:spacing w:before="62" w:after="62"/>
              <w:rPr>
                <w:rFonts w:hint="eastAsia" w:ascii="宋体" w:hAnsi="宋体" w:eastAsia="宋体"/>
                <w:szCs w:val="21"/>
              </w:rPr>
            </w:pPr>
            <w:r>
              <w:rPr>
                <w:rFonts w:hint="eastAsia" w:ascii="宋体" w:hAnsi="宋体" w:eastAsia="宋体"/>
                <w:szCs w:val="21"/>
              </w:rPr>
              <w:t xml:space="preserve">6</w:t>
            </w:r>
            <w:r/>
          </w:p>
        </w:tc>
        <w:tc>
          <w:tcPr>
            <w:tcW w:w="1276" w:type="dxa"/>
            <w:textDirection w:val="lrTb"/>
            <w:noWrap w:val="false"/>
          </w:tcPr>
          <w:p>
            <w:pPr>
              <w:spacing w:before="62" w:after="62"/>
              <w:rPr>
                <w:rFonts w:hint="eastAsia" w:ascii="宋体" w:hAnsi="宋体" w:eastAsia="宋体"/>
                <w:szCs w:val="21"/>
              </w:rPr>
            </w:pPr>
            <w:r>
              <w:rPr>
                <w:rFonts w:hint="eastAsia" w:ascii="宋体" w:hAnsi="宋体" w:eastAsia="宋体"/>
                <w:szCs w:val="21"/>
              </w:rPr>
              <w:t xml:space="preserve">短波电台远程控制系统</w:t>
            </w:r>
            <w:r/>
          </w:p>
        </w:tc>
        <w:tc>
          <w:tcPr>
            <w:tcW w:w="4536" w:type="dxa"/>
            <w:textDirection w:val="lrTb"/>
            <w:noWrap w:val="false"/>
          </w:tcPr>
          <w:p>
            <w:pPr>
              <w:spacing w:before="62" w:after="62"/>
              <w:rPr>
                <w:rFonts w:hint="eastAsia" w:ascii="宋体" w:hAnsi="宋体" w:eastAsia="宋体" w:cs="宋体"/>
                <w:spacing w:val="-4"/>
              </w:rPr>
            </w:pPr>
            <w:r>
              <w:rPr>
                <w:rFonts w:hint="eastAsia" w:ascii="宋体" w:hAnsi="宋体" w:eastAsia="宋体" w:cs="宋体"/>
                <w:spacing w:val="-4"/>
                <w:szCs w:val="21"/>
              </w:rPr>
              <w:t xml:space="preserve">主要性能要求如下：</w:t>
            </w:r>
            <w:r/>
          </w:p>
          <w:p>
            <w:pPr>
              <w:jc w:val="left"/>
              <w:widowControl/>
              <w:rPr>
                <w:rFonts w:hint="eastAsia" w:ascii="宋体" w:hAnsi="宋体" w:eastAsia="宋体" w:cs="宋体"/>
              </w:rPr>
            </w:pPr>
            <w:r>
              <w:rPr>
                <w:rFonts w:ascii="宋体" w:hAnsi="宋体" w:eastAsia="宋体"/>
                <w:szCs w:val="21"/>
              </w:rPr>
              <w:t xml:space="preserve">▲</w:t>
            </w:r>
            <w:r>
              <w:rPr>
                <w:rFonts w:hint="eastAsia" w:ascii="宋体" w:hAnsi="宋体" w:eastAsia="宋体" w:cs="宋体"/>
                <w:color w:val="000000"/>
                <w:szCs w:val="21"/>
              </w:rPr>
              <w:t xml:space="preserve">须接入</w:t>
            </w:r>
            <w:r>
              <w:rPr>
                <w:rFonts w:hint="eastAsia" w:ascii="宋体" w:hAnsi="宋体" w:eastAsia="宋体"/>
                <w:szCs w:val="21"/>
              </w:rPr>
              <w:t xml:space="preserve">盐城市</w:t>
            </w:r>
            <w:r>
              <w:rPr>
                <w:rFonts w:hint="eastAsia" w:ascii="宋体" w:hAnsi="宋体" w:eastAsia="宋体" w:cs="宋体"/>
                <w:szCs w:val="21"/>
              </w:rPr>
              <w:t xml:space="preserve">国动办短波电台固定站远程控制系统，实现互联互通互控。</w:t>
            </w:r>
            <w:r/>
          </w:p>
          <w:p>
            <w:pPr>
              <w:jc w:val="left"/>
              <w:widowControl/>
              <w:rPr>
                <w:rFonts w:hint="eastAsia" w:ascii="宋体" w:hAnsi="宋体" w:eastAsia="宋体" w:cs="宋体"/>
                <w:color w:val="ff0000"/>
              </w:rPr>
            </w:pPr>
            <w:r>
              <w:rPr>
                <w:rFonts w:ascii="宋体" w:hAnsi="宋体" w:eastAsia="宋体"/>
                <w:szCs w:val="21"/>
              </w:rPr>
              <w:t xml:space="preserve">▲</w:t>
            </w:r>
            <w:r>
              <w:rPr>
                <w:rFonts w:hint="eastAsia" w:ascii="宋体" w:hAnsi="宋体" w:eastAsia="宋体" w:cs="宋体"/>
                <w:b/>
                <w:bCs/>
                <w:color w:val="000000"/>
                <w:szCs w:val="21"/>
              </w:rPr>
              <w:t xml:space="preserve">控制功能</w:t>
            </w:r>
            <w:r/>
          </w:p>
          <w:p>
            <w:pPr>
              <w:jc w:val="left"/>
              <w:widowControl/>
              <w:rPr>
                <w:rFonts w:hint="eastAsia" w:ascii="宋体" w:hAnsi="宋体" w:eastAsia="宋体" w:cs="宋体"/>
              </w:rPr>
            </w:pPr>
            <w:r>
              <w:rPr>
                <w:rFonts w:hint="eastAsia" w:ascii="宋体" w:hAnsi="宋体" w:eastAsia="宋体" w:cs="宋体"/>
                <w:szCs w:val="21"/>
              </w:rPr>
              <w:t xml:space="preserve">可通过软件界面实现远端电台参数的配置、报文收发、语音和语音包收发、电源远程开关机、支持远端设备强制开启电源给电台供电。</w:t>
            </w:r>
            <w:r/>
          </w:p>
          <w:p>
            <w:pPr>
              <w:jc w:val="left"/>
              <w:widowControl/>
              <w:rPr>
                <w:rFonts w:hint="eastAsia" w:ascii="宋体" w:hAnsi="宋体" w:eastAsia="宋体" w:cs="宋体"/>
                <w:color w:val="000000"/>
              </w:rPr>
            </w:pPr>
            <w:r>
              <w:rPr>
                <w:rFonts w:ascii="宋体" w:hAnsi="宋体" w:eastAsia="宋体"/>
                <w:szCs w:val="21"/>
              </w:rPr>
              <w:t xml:space="preserve">▲</w:t>
            </w:r>
            <w:r>
              <w:rPr>
                <w:rFonts w:hint="eastAsia" w:ascii="宋体" w:hAnsi="宋体" w:eastAsia="宋体" w:cs="宋体"/>
                <w:b/>
                <w:bCs/>
                <w:color w:val="000000"/>
                <w:szCs w:val="21"/>
              </w:rPr>
              <w:t xml:space="preserve">多点控制功能</w:t>
            </w:r>
            <w:r/>
          </w:p>
          <w:p>
            <w:pPr>
              <w:jc w:val="left"/>
              <w:widowControl/>
              <w:rPr>
                <w:rFonts w:hint="eastAsia" w:ascii="宋体" w:hAnsi="宋体" w:eastAsia="宋体" w:cs="宋体"/>
                <w:color w:val="000000"/>
              </w:rPr>
            </w:pPr>
            <w:r>
              <w:rPr>
                <w:rFonts w:hint="eastAsia" w:ascii="宋体" w:hAnsi="宋体" w:eastAsia="宋体" w:cs="宋体"/>
                <w:color w:val="000000"/>
                <w:szCs w:val="21"/>
              </w:rPr>
              <w:t xml:space="preserve">可通过网络实现远程电台点对点遥控和多点对多点遥控。</w:t>
            </w:r>
            <w:r/>
          </w:p>
          <w:p>
            <w:pPr>
              <w:jc w:val="left"/>
              <w:widowControl/>
              <w:rPr>
                <w:rFonts w:hint="eastAsia" w:ascii="宋体" w:hAnsi="宋体" w:eastAsia="宋体" w:cs="宋体"/>
                <w:b/>
                <w:bCs/>
                <w:color w:val="auto"/>
              </w:rPr>
            </w:pPr>
            <w:r>
              <w:rPr>
                <w:rFonts w:hint="eastAsia" w:ascii="宋体" w:hAnsi="宋体" w:eastAsia="宋体" w:cs="宋体"/>
                <w:b/>
                <w:bCs/>
                <w:color w:val="auto"/>
                <w:szCs w:val="21"/>
              </w:rPr>
              <w:t xml:space="preserve">融合功能</w:t>
            </w:r>
            <w:r/>
          </w:p>
          <w:p>
            <w:pPr>
              <w:jc w:val="left"/>
              <w:widowControl/>
              <w:rPr>
                <w:rFonts w:hint="eastAsia" w:ascii="宋体" w:hAnsi="宋体" w:eastAsia="宋体" w:cs="宋体"/>
                <w:color w:val="000000"/>
              </w:rPr>
            </w:pPr>
            <w:r>
              <w:rPr>
                <w:rFonts w:hint="eastAsia" w:ascii="宋体" w:hAnsi="宋体" w:eastAsia="宋体" w:cs="宋体"/>
                <w:color w:val="000000"/>
                <w:szCs w:val="21"/>
              </w:rPr>
              <w:t xml:space="preserve">语音IP化融合接入指挥网、可通过控制终端标准军用接口接入融合通信系统。</w:t>
            </w:r>
            <w:r/>
          </w:p>
          <w:p>
            <w:pPr>
              <w:jc w:val="left"/>
              <w:widowControl/>
              <w:rPr>
                <w:rFonts w:hint="eastAsia" w:ascii="宋体" w:hAnsi="宋体" w:eastAsia="宋体" w:cs="宋体"/>
                <w:b/>
                <w:bCs/>
                <w:color w:val="000000"/>
              </w:rPr>
            </w:pPr>
            <w:r>
              <w:rPr>
                <w:rFonts w:hint="eastAsia" w:ascii="宋体" w:hAnsi="宋体" w:eastAsia="宋体" w:cs="宋体"/>
                <w:b/>
                <w:bCs/>
                <w:color w:val="000000"/>
                <w:szCs w:val="21"/>
              </w:rPr>
              <w:t xml:space="preserve">远程遥控参数</w:t>
            </w:r>
            <w:r/>
          </w:p>
          <w:p>
            <w:pPr>
              <w:jc w:val="left"/>
              <w:widowControl/>
              <w:rPr>
                <w:rFonts w:hint="eastAsia" w:ascii="宋体" w:hAnsi="宋体" w:eastAsia="宋体" w:cs="宋体"/>
                <w:color w:val="000000"/>
              </w:rPr>
            </w:pPr>
            <w:r>
              <w:rPr>
                <w:rFonts w:hint="eastAsia" w:ascii="宋体" w:hAnsi="宋体" w:eastAsia="宋体" w:cs="宋体"/>
                <w:color w:val="000000"/>
                <w:szCs w:val="21"/>
              </w:rPr>
              <w:t xml:space="preserve">1、电台端参数</w:t>
            </w:r>
            <w:r/>
          </w:p>
          <w:p>
            <w:pPr>
              <w:jc w:val="left"/>
              <w:widowControl/>
              <w:rPr>
                <w:rFonts w:hint="eastAsia" w:ascii="宋体" w:hAnsi="宋体" w:eastAsia="宋体" w:cs="宋体"/>
                <w:color w:val="000000"/>
              </w:rPr>
            </w:pPr>
            <w:r>
              <w:rPr>
                <w:rFonts w:hint="eastAsia" w:ascii="宋体" w:hAnsi="宋体" w:eastAsia="宋体" w:cs="宋体"/>
                <w:color w:val="000000"/>
                <w:szCs w:val="21"/>
              </w:rPr>
              <w:t xml:space="preserve">平均故障间隔MTBF(θ1)  ≥1000小时</w:t>
            </w:r>
            <w:r/>
          </w:p>
          <w:p>
            <w:pPr>
              <w:jc w:val="left"/>
              <w:widowControl/>
              <w:rPr>
                <w:rFonts w:hint="eastAsia" w:ascii="宋体" w:hAnsi="宋体" w:eastAsia="宋体" w:cs="宋体"/>
                <w:color w:val="000000"/>
              </w:rPr>
            </w:pPr>
            <w:r>
              <w:rPr>
                <w:rFonts w:hint="eastAsia" w:ascii="宋体" w:hAnsi="宋体" w:eastAsia="宋体" w:cs="宋体"/>
                <w:color w:val="000000"/>
                <w:szCs w:val="21"/>
              </w:rPr>
              <w:t xml:space="preserve">平均修复时间MTTR  ≤1分钟</w:t>
            </w:r>
            <w:r/>
          </w:p>
          <w:p>
            <w:pPr>
              <w:jc w:val="left"/>
              <w:widowControl/>
              <w:rPr>
                <w:rFonts w:hint="eastAsia" w:ascii="宋体" w:hAnsi="宋体" w:eastAsia="宋体" w:cs="宋体"/>
                <w:color w:val="000000"/>
              </w:rPr>
            </w:pPr>
            <w:r>
              <w:rPr>
                <w:rFonts w:hint="eastAsia" w:ascii="宋体" w:hAnsi="宋体" w:eastAsia="宋体" w:cs="宋体"/>
                <w:color w:val="000000"/>
                <w:szCs w:val="21"/>
              </w:rPr>
              <w:t xml:space="preserve">网络速率：10M/100M全双工/半双工完全自适应</w:t>
            </w:r>
            <w:r/>
          </w:p>
          <w:p>
            <w:pPr>
              <w:jc w:val="left"/>
              <w:widowControl/>
              <w:rPr>
                <w:rFonts w:hint="eastAsia" w:ascii="宋体" w:hAnsi="宋体" w:eastAsia="宋体" w:cs="宋体"/>
                <w:color w:val="000000"/>
              </w:rPr>
            </w:pPr>
            <w:r>
              <w:rPr>
                <w:rFonts w:hint="eastAsia" w:ascii="宋体" w:hAnsi="宋体" w:eastAsia="宋体" w:cs="宋体"/>
                <w:color w:val="000000"/>
                <w:szCs w:val="21"/>
              </w:rPr>
              <w:t xml:space="preserve">网络协议：TCP/IP，支持IEEE802.3</w:t>
            </w:r>
            <w:r/>
          </w:p>
          <w:p>
            <w:pPr>
              <w:jc w:val="left"/>
              <w:widowControl/>
              <w:rPr>
                <w:rFonts w:hint="eastAsia" w:ascii="宋体" w:hAnsi="宋体" w:eastAsia="宋体" w:cs="宋体"/>
                <w:color w:val="000000"/>
              </w:rPr>
            </w:pPr>
            <w:r>
              <w:rPr>
                <w:rFonts w:hint="eastAsia" w:ascii="宋体" w:hAnsi="宋体" w:eastAsia="宋体" w:cs="宋体"/>
                <w:color w:val="000000"/>
                <w:szCs w:val="21"/>
              </w:rPr>
              <w:t xml:space="preserve">网络带宽要求：≥2MHz</w:t>
            </w:r>
            <w:r/>
          </w:p>
          <w:p>
            <w:pPr>
              <w:jc w:val="left"/>
              <w:widowControl/>
              <w:rPr>
                <w:rFonts w:hint="eastAsia" w:ascii="宋体" w:hAnsi="宋体" w:eastAsia="宋体" w:cs="宋体"/>
                <w:color w:val="000000"/>
              </w:rPr>
            </w:pPr>
            <w:r>
              <w:rPr>
                <w:rFonts w:hint="eastAsia" w:ascii="宋体" w:hAnsi="宋体" w:eastAsia="宋体" w:cs="宋体"/>
                <w:color w:val="000000"/>
                <w:szCs w:val="21"/>
              </w:rPr>
              <w:t xml:space="preserve">2、电台端光接口 </w:t>
            </w:r>
            <w:r/>
          </w:p>
          <w:p>
            <w:pPr>
              <w:jc w:val="left"/>
              <w:widowControl/>
              <w:rPr>
                <w:rFonts w:hint="eastAsia" w:ascii="宋体" w:hAnsi="宋体" w:eastAsia="宋体" w:cs="宋体"/>
                <w:color w:val="000000"/>
              </w:rPr>
            </w:pPr>
            <w:r>
              <w:rPr>
                <w:rFonts w:hint="eastAsia" w:ascii="宋体" w:hAnsi="宋体" w:eastAsia="宋体" w:cs="宋体"/>
                <w:color w:val="000000"/>
                <w:szCs w:val="21"/>
              </w:rPr>
              <w:t xml:space="preserve">传输距离：最大 25Km， </w:t>
            </w:r>
            <w:r/>
          </w:p>
          <w:p>
            <w:pPr>
              <w:jc w:val="left"/>
              <w:widowControl/>
              <w:rPr>
                <w:rFonts w:hint="eastAsia" w:ascii="宋体" w:hAnsi="宋体" w:eastAsia="宋体" w:cs="宋体"/>
                <w:color w:val="000000"/>
              </w:rPr>
            </w:pPr>
            <w:r>
              <w:rPr>
                <w:rFonts w:hint="eastAsia" w:ascii="宋体" w:hAnsi="宋体" w:eastAsia="宋体" w:cs="宋体"/>
                <w:color w:val="000000"/>
                <w:szCs w:val="21"/>
              </w:rPr>
              <w:t xml:space="preserve">收发波长：1310/1550Nm（单模） </w:t>
            </w:r>
            <w:r/>
          </w:p>
          <w:p>
            <w:pPr>
              <w:jc w:val="left"/>
              <w:widowControl/>
              <w:rPr>
                <w:rFonts w:hint="eastAsia" w:ascii="宋体" w:hAnsi="宋体" w:eastAsia="宋体" w:cs="宋体"/>
                <w:color w:val="000000"/>
              </w:rPr>
            </w:pPr>
            <w:r>
              <w:rPr>
                <w:rFonts w:hint="eastAsia" w:ascii="宋体" w:hAnsi="宋体" w:eastAsia="宋体" w:cs="宋体"/>
                <w:color w:val="000000"/>
                <w:szCs w:val="21"/>
              </w:rPr>
              <w:t xml:space="preserve">物理接口：FC（单芯） </w:t>
            </w:r>
            <w:r/>
          </w:p>
          <w:p>
            <w:pPr>
              <w:jc w:val="left"/>
              <w:widowControl/>
              <w:rPr>
                <w:rFonts w:hint="eastAsia" w:ascii="宋体" w:hAnsi="宋体" w:eastAsia="宋体" w:cs="宋体"/>
                <w:color w:val="000000"/>
              </w:rPr>
            </w:pPr>
            <w:r>
              <w:rPr>
                <w:rFonts w:hint="eastAsia" w:ascii="宋体" w:hAnsi="宋体" w:eastAsia="宋体" w:cs="宋体"/>
                <w:color w:val="000000"/>
                <w:szCs w:val="21"/>
              </w:rPr>
              <w:t xml:space="preserve">网络接口：标准 RJ-45，TCP/IP 协议 </w:t>
            </w:r>
            <w:r/>
          </w:p>
          <w:p>
            <w:pPr>
              <w:jc w:val="left"/>
              <w:widowControl/>
              <w:rPr>
                <w:rFonts w:hint="eastAsia" w:ascii="宋体" w:hAnsi="宋体" w:eastAsia="宋体" w:cs="宋体"/>
                <w:color w:val="000000"/>
              </w:rPr>
            </w:pPr>
            <w:r>
              <w:rPr>
                <w:rFonts w:hint="eastAsia" w:ascii="宋体" w:hAnsi="宋体" w:eastAsia="宋体" w:cs="宋体"/>
                <w:color w:val="000000"/>
                <w:szCs w:val="21"/>
              </w:rPr>
              <w:t xml:space="preserve">串口：标准 RS-232 串口 </w:t>
            </w:r>
            <w:r/>
          </w:p>
          <w:p>
            <w:pPr>
              <w:jc w:val="left"/>
              <w:widowControl/>
              <w:rPr>
                <w:rFonts w:hint="eastAsia" w:ascii="宋体" w:hAnsi="宋体" w:eastAsia="宋体" w:cs="宋体"/>
                <w:color w:val="000000"/>
              </w:rPr>
            </w:pPr>
            <w:r>
              <w:rPr>
                <w:rFonts w:hint="eastAsia" w:ascii="宋体" w:hAnsi="宋体" w:eastAsia="宋体" w:cs="宋体"/>
                <w:color w:val="000000"/>
                <w:szCs w:val="21"/>
              </w:rPr>
              <w:t xml:space="preserve">电台端音频接口 </w:t>
            </w:r>
            <w:r/>
          </w:p>
          <w:p>
            <w:pPr>
              <w:jc w:val="left"/>
              <w:widowControl/>
              <w:rPr>
                <w:rFonts w:hint="eastAsia" w:ascii="宋体" w:hAnsi="宋体" w:eastAsia="宋体" w:cs="宋体"/>
                <w:color w:val="000000"/>
              </w:rPr>
            </w:pPr>
            <w:r>
              <w:rPr>
                <w:rFonts w:hint="eastAsia" w:ascii="宋体" w:hAnsi="宋体" w:eastAsia="宋体" w:cs="宋体"/>
                <w:color w:val="000000"/>
                <w:szCs w:val="21"/>
              </w:rPr>
              <w:t xml:space="preserve">输入：平衡电平 600Ω，-10～+10dBm </w:t>
            </w:r>
            <w:r/>
          </w:p>
          <w:p>
            <w:pPr>
              <w:jc w:val="left"/>
              <w:widowControl/>
              <w:rPr>
                <w:rFonts w:hint="eastAsia" w:ascii="宋体" w:hAnsi="宋体" w:eastAsia="宋体" w:cs="宋体"/>
                <w:color w:val="000000"/>
              </w:rPr>
            </w:pPr>
            <w:r>
              <w:rPr>
                <w:rFonts w:hint="eastAsia" w:ascii="宋体" w:hAnsi="宋体" w:eastAsia="宋体" w:cs="宋体"/>
                <w:color w:val="000000"/>
                <w:szCs w:val="21"/>
              </w:rPr>
              <w:t xml:space="preserve">输出：平衡电平 600Ω，0dBm </w:t>
            </w:r>
            <w:r/>
          </w:p>
          <w:p>
            <w:pPr>
              <w:jc w:val="left"/>
              <w:widowControl/>
              <w:rPr>
                <w:rFonts w:hint="eastAsia" w:ascii="宋体" w:hAnsi="宋体" w:eastAsia="宋体" w:cs="宋体"/>
                <w:color w:val="000000"/>
              </w:rPr>
            </w:pPr>
            <w:r>
              <w:rPr>
                <w:rFonts w:hint="eastAsia" w:ascii="宋体" w:hAnsi="宋体" w:eastAsia="宋体" w:cs="宋体"/>
                <w:color w:val="000000"/>
                <w:szCs w:val="21"/>
              </w:rPr>
              <w:t xml:space="preserve">交流输入输出：适应范围180V-240V，额定电流5A</w:t>
            </w:r>
            <w:r/>
          </w:p>
          <w:p>
            <w:pPr>
              <w:jc w:val="left"/>
              <w:widowControl/>
              <w:rPr>
                <w:rFonts w:hint="eastAsia" w:ascii="宋体" w:hAnsi="宋体" w:eastAsia="宋体" w:cs="宋体"/>
                <w:color w:val="000000"/>
              </w:rPr>
            </w:pPr>
            <w:r>
              <w:rPr>
                <w:rFonts w:hint="eastAsia" w:ascii="宋体" w:hAnsi="宋体" w:eastAsia="宋体" w:cs="宋体"/>
                <w:color w:val="000000"/>
                <w:szCs w:val="21"/>
              </w:rPr>
              <w:t xml:space="preserve">3、控制终端参数</w:t>
            </w:r>
            <w:r/>
          </w:p>
          <w:p>
            <w:pPr>
              <w:jc w:val="left"/>
              <w:widowControl/>
              <w:rPr>
                <w:rFonts w:hint="eastAsia" w:ascii="宋体" w:hAnsi="宋体" w:eastAsia="宋体" w:cs="宋体"/>
                <w:color w:val="000000"/>
              </w:rPr>
            </w:pPr>
            <w:r>
              <w:rPr>
                <w:rFonts w:hint="eastAsia" w:ascii="宋体" w:hAnsi="宋体" w:eastAsia="宋体" w:cs="宋体"/>
                <w:color w:val="000000"/>
                <w:szCs w:val="21"/>
              </w:rPr>
              <w:t xml:space="preserve">10.1英寸/八核/4G内存/64G存储/4G上网/WIFI蓝牙GPS北斗</w:t>
            </w:r>
            <w:r/>
          </w:p>
          <w:p>
            <w:pPr>
              <w:jc w:val="left"/>
              <w:widowControl/>
              <w:rPr>
                <w:rFonts w:hint="eastAsia" w:ascii="宋体" w:hAnsi="宋体" w:eastAsia="宋体" w:cs="宋体"/>
                <w:color w:val="000000"/>
              </w:rPr>
            </w:pPr>
            <w:r>
              <w:rPr>
                <w:rFonts w:hint="eastAsia" w:ascii="宋体" w:hAnsi="宋体" w:eastAsia="宋体" w:cs="宋体"/>
                <w:color w:val="000000"/>
                <w:szCs w:val="21"/>
              </w:rPr>
              <w:t xml:space="preserve">接口：网口、串口、电台手咪专用航空接口、IP68防护等级</w:t>
            </w:r>
            <w:r/>
          </w:p>
          <w:p>
            <w:pPr>
              <w:jc w:val="left"/>
              <w:widowControl/>
              <w:rPr>
                <w:rFonts w:hint="eastAsia" w:ascii="宋体" w:hAnsi="宋体" w:eastAsia="宋体" w:cs="宋体"/>
                <w:color w:val="000000"/>
              </w:rPr>
            </w:pPr>
            <w:r>
              <w:rPr>
                <w:rFonts w:hint="eastAsia" w:ascii="宋体" w:hAnsi="宋体" w:eastAsia="宋体" w:cs="宋体"/>
                <w:color w:val="000000"/>
                <w:szCs w:val="21"/>
              </w:rPr>
              <w:t xml:space="preserve">软件：定制软件</w:t>
            </w:r>
            <w:r/>
          </w:p>
          <w:p>
            <w:pPr>
              <w:jc w:val="left"/>
              <w:widowControl/>
              <w:rPr>
                <w:rFonts w:hint="eastAsia" w:ascii="宋体" w:hAnsi="宋体" w:eastAsia="宋体" w:cs="宋体"/>
                <w:color w:val="000000"/>
              </w:rPr>
            </w:pPr>
            <w:r>
              <w:rPr>
                <w:rFonts w:hint="eastAsia" w:ascii="宋体" w:hAnsi="宋体" w:eastAsia="宋体" w:cs="宋体"/>
                <w:color w:val="000000"/>
                <w:szCs w:val="21"/>
              </w:rPr>
              <w:t xml:space="preserve">按键：PTT按键 </w:t>
            </w:r>
            <w:r/>
          </w:p>
          <w:p>
            <w:pPr>
              <w:jc w:val="left"/>
              <w:widowControl/>
              <w:rPr>
                <w:rFonts w:hint="eastAsia" w:ascii="宋体" w:hAnsi="宋体" w:eastAsia="宋体" w:cs="宋体"/>
                <w:color w:val="000000"/>
              </w:rPr>
            </w:pPr>
            <w:r>
              <w:rPr>
                <w:rFonts w:hint="eastAsia" w:ascii="宋体" w:hAnsi="宋体" w:eastAsia="宋体" w:cs="宋体"/>
                <w:color w:val="000000"/>
                <w:szCs w:val="21"/>
              </w:rPr>
              <w:t xml:space="preserve">音频输入：平衡电平 600Ω，-10～+10dBm </w:t>
            </w:r>
            <w:r/>
          </w:p>
          <w:p>
            <w:pPr>
              <w:jc w:val="left"/>
              <w:widowControl/>
              <w:rPr>
                <w:rFonts w:hint="eastAsia" w:ascii="宋体" w:hAnsi="宋体" w:eastAsia="宋体" w:cs="宋体"/>
                <w:color w:val="000000"/>
              </w:rPr>
            </w:pPr>
            <w:r>
              <w:rPr>
                <w:rFonts w:hint="eastAsia" w:ascii="宋体" w:hAnsi="宋体" w:eastAsia="宋体" w:cs="宋体"/>
                <w:color w:val="000000"/>
                <w:szCs w:val="21"/>
              </w:rPr>
              <w:t xml:space="preserve">音频输出：平衡电平 600Ω，0dBm </w:t>
            </w:r>
            <w:r/>
          </w:p>
          <w:p>
            <w:pPr>
              <w:jc w:val="left"/>
              <w:widowControl/>
              <w:rPr>
                <w:rFonts w:hint="eastAsia" w:ascii="宋体" w:hAnsi="宋体" w:eastAsia="宋体" w:cs="宋体"/>
                <w:color w:val="000000"/>
              </w:rPr>
            </w:pPr>
            <w:r>
              <w:rPr>
                <w:rFonts w:hint="eastAsia" w:ascii="宋体" w:hAnsi="宋体" w:eastAsia="宋体" w:cs="宋体"/>
                <w:color w:val="000000"/>
                <w:szCs w:val="21"/>
              </w:rPr>
              <w:t xml:space="preserve">串行接口：标准RS232，波特率115200bit/s</w:t>
            </w:r>
            <w:r/>
          </w:p>
          <w:p>
            <w:pPr>
              <w:jc w:val="left"/>
              <w:widowControl/>
              <w:rPr>
                <w:rFonts w:hint="eastAsia" w:ascii="宋体" w:hAnsi="宋体" w:eastAsia="宋体" w:cs="宋体"/>
                <w:color w:val="000000"/>
              </w:rPr>
            </w:pPr>
            <w:r>
              <w:rPr>
                <w:rFonts w:hint="eastAsia" w:ascii="宋体" w:hAnsi="宋体" w:eastAsia="宋体" w:cs="宋体"/>
                <w:color w:val="000000"/>
                <w:szCs w:val="21"/>
              </w:rPr>
              <w:t xml:space="preserve">光接口</w:t>
            </w:r>
            <w:r/>
          </w:p>
          <w:p>
            <w:pPr>
              <w:jc w:val="left"/>
              <w:widowControl/>
              <w:rPr>
                <w:rFonts w:hint="eastAsia" w:ascii="宋体" w:hAnsi="宋体" w:eastAsia="宋体" w:cs="宋体"/>
                <w:color w:val="000000"/>
              </w:rPr>
            </w:pPr>
            <w:r>
              <w:rPr>
                <w:rFonts w:hint="eastAsia" w:ascii="宋体" w:hAnsi="宋体" w:eastAsia="宋体" w:cs="宋体"/>
                <w:color w:val="000000"/>
                <w:szCs w:val="21"/>
              </w:rPr>
              <w:t xml:space="preserve">传输距离：最大 25Km，</w:t>
            </w:r>
            <w:r/>
          </w:p>
          <w:p>
            <w:pPr>
              <w:jc w:val="left"/>
              <w:widowControl/>
              <w:rPr>
                <w:rFonts w:hint="eastAsia" w:ascii="宋体" w:hAnsi="宋体" w:eastAsia="宋体" w:cs="宋体"/>
                <w:color w:val="000000"/>
              </w:rPr>
            </w:pPr>
            <w:r>
              <w:rPr>
                <w:rFonts w:hint="eastAsia" w:ascii="宋体" w:hAnsi="宋体" w:eastAsia="宋体" w:cs="宋体"/>
                <w:color w:val="000000"/>
                <w:szCs w:val="21"/>
              </w:rPr>
              <w:t xml:space="preserve">光纤收发波长：1310/1550Nm（单模） </w:t>
            </w:r>
            <w:r/>
          </w:p>
          <w:p>
            <w:pPr>
              <w:jc w:val="left"/>
              <w:widowControl/>
              <w:rPr>
                <w:rFonts w:hint="eastAsia" w:ascii="宋体" w:hAnsi="宋体" w:eastAsia="宋体" w:cs="宋体"/>
                <w:color w:val="000000"/>
              </w:rPr>
            </w:pPr>
            <w:r>
              <w:rPr>
                <w:rFonts w:hint="eastAsia" w:ascii="宋体" w:hAnsi="宋体" w:eastAsia="宋体" w:cs="宋体"/>
                <w:color w:val="000000"/>
                <w:szCs w:val="21"/>
              </w:rPr>
              <w:t xml:space="preserve">物理接口：FC（单芯）   </w:t>
            </w:r>
            <w:r/>
          </w:p>
          <w:p>
            <w:pPr>
              <w:spacing w:before="62" w:after="62"/>
              <w:rPr>
                <w:rFonts w:hint="eastAsia" w:ascii="宋体" w:hAnsi="宋体" w:eastAsia="宋体"/>
                <w:szCs w:val="21"/>
              </w:rPr>
            </w:pPr>
            <w:r>
              <w:rPr>
                <w:rFonts w:hint="eastAsia" w:ascii="宋体" w:hAnsi="宋体" w:eastAsia="宋体" w:cs="宋体"/>
                <w:color w:val="000000"/>
                <w:szCs w:val="21"/>
              </w:rPr>
              <w:t xml:space="preserve">无线连接方式：系统自带wifi连接</w:t>
            </w:r>
            <w:r/>
          </w:p>
        </w:tc>
        <w:tc>
          <w:tcPr>
            <w:tcW w:w="709" w:type="dxa"/>
            <w:textDirection w:val="lrTb"/>
            <w:noWrap w:val="false"/>
          </w:tcPr>
          <w:p>
            <w:pPr>
              <w:jc w:val="center"/>
              <w:spacing w:before="62" w:after="62"/>
              <w:rPr>
                <w:rFonts w:hint="eastAsia" w:ascii="宋体" w:hAnsi="宋体" w:eastAsia="宋体"/>
                <w:szCs w:val="21"/>
              </w:rPr>
            </w:pPr>
            <w:r>
              <w:rPr>
                <w:rFonts w:hint="eastAsia" w:ascii="宋体" w:hAnsi="宋体" w:eastAsia="宋体"/>
                <w:szCs w:val="21"/>
              </w:rPr>
              <w:t xml:space="preserve">1</w:t>
            </w:r>
            <w:r/>
          </w:p>
        </w:tc>
        <w:tc>
          <w:tcPr>
            <w:tcW w:w="1071" w:type="dxa"/>
            <w:textDirection w:val="lrTb"/>
            <w:noWrap w:val="false"/>
          </w:tcPr>
          <w:p>
            <w:pPr>
              <w:spacing w:before="62" w:after="62"/>
              <w:rPr>
                <w:rFonts w:hint="eastAsia" w:ascii="宋体" w:hAnsi="宋体" w:eastAsia="宋体"/>
                <w:szCs w:val="21"/>
              </w:rPr>
            </w:pPr>
            <w:r>
              <w:rPr>
                <w:rFonts w:hint="eastAsia" w:ascii="宋体" w:hAnsi="宋体" w:eastAsia="宋体"/>
                <w:szCs w:val="21"/>
              </w:rPr>
              <w:t xml:space="preserve">投标人须提供能</w:t>
            </w:r>
            <w:r>
              <w:rPr>
                <w:rFonts w:hint="eastAsia" w:ascii="宋体" w:hAnsi="宋体" w:eastAsia="宋体" w:cs="宋体"/>
                <w:color w:val="000000"/>
                <w:szCs w:val="21"/>
              </w:rPr>
              <w:t xml:space="preserve">接入</w:t>
            </w:r>
            <w:r>
              <w:rPr>
                <w:rFonts w:hint="eastAsia" w:ascii="宋体" w:hAnsi="宋体" w:eastAsia="宋体"/>
                <w:szCs w:val="21"/>
              </w:rPr>
              <w:t xml:space="preserve">盐城市</w:t>
            </w:r>
            <w:r>
              <w:rPr>
                <w:rFonts w:hint="eastAsia" w:ascii="宋体" w:hAnsi="宋体" w:eastAsia="宋体" w:cs="宋体"/>
                <w:szCs w:val="21"/>
              </w:rPr>
              <w:t xml:space="preserve">国动办短波电台固定站远程控制系统，实现互联互通互控</w:t>
            </w:r>
            <w:r>
              <w:rPr>
                <w:rFonts w:hint="eastAsia" w:ascii="宋体" w:hAnsi="宋体" w:eastAsia="宋体"/>
                <w:szCs w:val="21"/>
              </w:rPr>
              <w:t xml:space="preserve">的承诺书以及</w:t>
            </w:r>
            <w:r>
              <w:rPr>
                <w:rFonts w:hint="eastAsia" w:ascii="宋体" w:hAnsi="宋体" w:eastAsia="宋体" w:cs="宋体"/>
                <w:szCs w:val="21"/>
              </w:rPr>
              <w:t xml:space="preserve">控制功能、多点控制功能、融合功能</w:t>
            </w:r>
            <w:r>
              <w:rPr>
                <w:rFonts w:hint="eastAsia" w:ascii="宋体" w:hAnsi="宋体" w:eastAsia="宋体"/>
                <w:szCs w:val="21"/>
              </w:rPr>
              <w:t xml:space="preserve">操作界面功能截图或外观图片</w:t>
            </w:r>
            <w:r/>
          </w:p>
        </w:tc>
      </w:tr>
      <w:tr>
        <w:trPr>
          <w:jc w:val="center"/>
          <w:trHeight w:val="458"/>
        </w:trPr>
        <w:tc>
          <w:tcPr>
            <w:tcW w:w="704" w:type="dxa"/>
            <w:textDirection w:val="lrTb"/>
            <w:noWrap w:val="false"/>
          </w:tcPr>
          <w:p>
            <w:pPr>
              <w:jc w:val="center"/>
              <w:spacing w:before="62" w:after="62"/>
              <w:rPr>
                <w:rFonts w:hint="eastAsia" w:ascii="宋体" w:hAnsi="宋体" w:eastAsia="宋体"/>
                <w:szCs w:val="21"/>
              </w:rPr>
            </w:pPr>
            <w:r>
              <w:rPr>
                <w:rFonts w:hint="eastAsia" w:ascii="宋体" w:hAnsi="宋体" w:eastAsia="宋体"/>
                <w:szCs w:val="21"/>
              </w:rPr>
              <w:t xml:space="preserve">7</w:t>
            </w:r>
            <w:r/>
          </w:p>
        </w:tc>
        <w:tc>
          <w:tcPr>
            <w:tcW w:w="1276" w:type="dxa"/>
            <w:textDirection w:val="lrTb"/>
            <w:noWrap w:val="false"/>
          </w:tcPr>
          <w:p>
            <w:pPr>
              <w:spacing w:before="62" w:after="62"/>
              <w:rPr>
                <w:rFonts w:hint="eastAsia" w:ascii="宋体" w:hAnsi="宋体" w:eastAsia="宋体"/>
                <w:szCs w:val="21"/>
              </w:rPr>
            </w:pPr>
            <w:r>
              <w:rPr>
                <w:rFonts w:hint="eastAsia" w:ascii="宋体" w:hAnsi="宋体" w:eastAsia="宋体"/>
                <w:szCs w:val="21"/>
              </w:rPr>
              <w:t xml:space="preserve">信创电脑生态兼容适配系统</w:t>
            </w:r>
            <w:r/>
          </w:p>
        </w:tc>
        <w:tc>
          <w:tcPr>
            <w:tcW w:w="4536" w:type="dxa"/>
            <w:textDirection w:val="lrTb"/>
            <w:noWrap w:val="false"/>
          </w:tcPr>
          <w:p>
            <w:pPr>
              <w:spacing w:before="62" w:after="62"/>
              <w:rPr>
                <w:rFonts w:hint="eastAsia" w:ascii="宋体" w:hAnsi="宋体" w:eastAsia="宋体"/>
                <w:szCs w:val="21"/>
              </w:rPr>
            </w:pPr>
            <w:r>
              <w:rPr>
                <w:rFonts w:hint="eastAsia" w:ascii="宋体" w:hAnsi="宋体" w:eastAsia="宋体"/>
                <w:szCs w:val="21"/>
              </w:rPr>
              <w:t xml:space="preserve">为满足在信创电脑上正常运行短波电台数传软件，须配备信创电脑生态兼容适配系统，适配系统应满足以下要求。</w:t>
            </w:r>
            <w:r/>
          </w:p>
          <w:p>
            <w:pPr>
              <w:spacing w:before="62" w:after="62"/>
              <w:rPr>
                <w:rFonts w:hint="eastAsia" w:ascii="宋体" w:hAnsi="宋体" w:eastAsia="宋体"/>
                <w:szCs w:val="21"/>
              </w:rPr>
            </w:pPr>
            <w:r>
              <w:rPr>
                <w:rFonts w:hint="eastAsia" w:ascii="宋体" w:hAnsi="宋体" w:eastAsia="宋体"/>
                <w:szCs w:val="21"/>
              </w:rPr>
              <w:t xml:space="preserve">1.</w:t>
            </w:r>
            <w:r>
              <w:rPr>
                <w:rFonts w:ascii="宋体" w:hAnsi="宋体" w:eastAsia="宋体"/>
                <w:szCs w:val="21"/>
              </w:rPr>
              <w:t xml:space="preserve">适配国产主流操作系统：支持目前主流的国产操作系统：统信桌面操作系统、银河麒麟桌面操作系统、方德桌面操作系统；</w:t>
            </w:r>
            <w:r/>
          </w:p>
          <w:p>
            <w:pPr>
              <w:jc w:val="left"/>
              <w:spacing w:before="62" w:after="62"/>
              <w:rPr>
                <w:rFonts w:hint="eastAsia" w:ascii="宋体" w:hAnsi="宋体" w:eastAsia="宋体"/>
                <w:szCs w:val="21"/>
              </w:rPr>
            </w:pPr>
            <w:r>
              <w:rPr>
                <w:rFonts w:hint="eastAsia" w:ascii="宋体" w:hAnsi="宋体" w:eastAsia="宋体"/>
                <w:szCs w:val="21"/>
              </w:rPr>
              <w:t xml:space="preserve">2.</w:t>
            </w:r>
            <w:r>
              <w:rPr>
                <w:rFonts w:ascii="宋体" w:hAnsi="宋体" w:eastAsia="宋体"/>
                <w:szCs w:val="21"/>
              </w:rPr>
              <w:t xml:space="preserve">▲文件关联打开：支持在国产系统桌面及其它目录双击Windows格式文件(包括.exe、.dwg、.psd、.msi等)自动调用兼容适配应用软件来打开；</w:t>
            </w:r>
            <w:r/>
          </w:p>
          <w:p>
            <w:pPr>
              <w:spacing w:before="62" w:after="62"/>
              <w:rPr>
                <w:rFonts w:hint="eastAsia" w:ascii="宋体" w:hAnsi="宋体" w:eastAsia="宋体"/>
                <w:szCs w:val="21"/>
              </w:rPr>
            </w:pPr>
            <w:r>
              <w:rPr>
                <w:rFonts w:hint="eastAsia" w:ascii="宋体" w:hAnsi="宋体" w:eastAsia="宋体"/>
                <w:szCs w:val="21"/>
              </w:rPr>
              <w:t xml:space="preserve">3.</w:t>
            </w:r>
            <w:r>
              <w:rPr>
                <w:rFonts w:ascii="宋体" w:hAnsi="宋体" w:eastAsia="宋体"/>
                <w:szCs w:val="21"/>
              </w:rPr>
              <w:t xml:space="preserve">自主适配原Windows应用：支持终端用户自主安装、卸载原Windows应用</w:t>
            </w:r>
            <w:r>
              <w:rPr>
                <w:rFonts w:hint="eastAsia" w:ascii="宋体" w:hAnsi="宋体" w:eastAsia="宋体"/>
                <w:szCs w:val="21"/>
              </w:rPr>
              <w:t xml:space="preserve">；</w:t>
            </w:r>
            <w:r/>
          </w:p>
          <w:p>
            <w:pPr>
              <w:spacing w:before="62" w:after="62"/>
              <w:rPr>
                <w:rFonts w:hint="eastAsia" w:ascii="宋体" w:hAnsi="宋体" w:eastAsia="宋体"/>
                <w:szCs w:val="21"/>
              </w:rPr>
            </w:pPr>
            <w:r>
              <w:rPr>
                <w:rFonts w:hint="eastAsia" w:ascii="宋体" w:hAnsi="宋体" w:eastAsia="宋体"/>
                <w:szCs w:val="21"/>
              </w:rPr>
              <w:t xml:space="preserve">4.</w:t>
            </w:r>
            <w:r>
              <w:rPr>
                <w:rFonts w:ascii="宋体" w:hAnsi="宋体" w:eastAsia="宋体"/>
                <w:szCs w:val="21"/>
              </w:rPr>
              <w:t xml:space="preserve">▲信息安全：通过国家级软件评测机构测评认证，符合国家信息安全等级保护三级安全要求</w:t>
            </w:r>
            <w:r>
              <w:rPr>
                <w:rFonts w:hint="eastAsia" w:ascii="宋体" w:hAnsi="宋体" w:eastAsia="宋体"/>
                <w:szCs w:val="21"/>
              </w:rPr>
              <w:t xml:space="preserve">。</w:t>
            </w:r>
            <w:r/>
          </w:p>
        </w:tc>
        <w:tc>
          <w:tcPr>
            <w:tcW w:w="709" w:type="dxa"/>
            <w:textDirection w:val="lrTb"/>
            <w:noWrap w:val="false"/>
          </w:tcPr>
          <w:p>
            <w:pPr>
              <w:jc w:val="center"/>
              <w:spacing w:before="62" w:after="62"/>
              <w:rPr>
                <w:rFonts w:hint="eastAsia" w:ascii="宋体" w:hAnsi="宋体" w:eastAsia="宋体"/>
                <w:szCs w:val="21"/>
              </w:rPr>
            </w:pPr>
            <w:r>
              <w:rPr>
                <w:rFonts w:hint="eastAsia" w:ascii="宋体" w:hAnsi="宋体" w:eastAsia="宋体"/>
                <w:szCs w:val="21"/>
              </w:rPr>
              <w:t xml:space="preserve">1</w:t>
            </w:r>
            <w:r/>
          </w:p>
        </w:tc>
        <w:tc>
          <w:tcPr>
            <w:tcW w:w="1071" w:type="dxa"/>
            <w:textDirection w:val="lrTb"/>
            <w:noWrap w:val="false"/>
          </w:tcPr>
          <w:p>
            <w:pPr>
              <w:jc w:val="left"/>
              <w:spacing w:before="62" w:after="62"/>
              <w:rPr>
                <w:rFonts w:hint="eastAsia" w:ascii="宋体" w:hAnsi="宋体"/>
                <w:szCs w:val="21"/>
              </w:rPr>
            </w:pPr>
            <w:r>
              <w:rPr>
                <w:rFonts w:hint="eastAsia" w:ascii="宋体" w:hAnsi="宋体"/>
                <w:color w:val="000000"/>
                <w:szCs w:val="21"/>
              </w:rPr>
              <w:t xml:space="preserve">投标人须提供相关截图以及国家认证认可的国家信息安全等级保护三级安全证书（相关证书复印件加盖公章）</w:t>
            </w:r>
            <w:r/>
          </w:p>
        </w:tc>
      </w:tr>
      <w:tr>
        <w:trPr>
          <w:jc w:val="center"/>
          <w:trHeight w:val="1087"/>
        </w:trPr>
        <w:tc>
          <w:tcPr>
            <w:tcW w:w="704" w:type="dxa"/>
            <w:textDirection w:val="lrTb"/>
            <w:noWrap w:val="false"/>
          </w:tcPr>
          <w:p>
            <w:pPr>
              <w:jc w:val="center"/>
              <w:spacing w:before="62" w:after="62"/>
              <w:rPr>
                <w:rFonts w:hint="eastAsia" w:ascii="宋体" w:hAnsi="宋体" w:eastAsia="宋体"/>
                <w:szCs w:val="21"/>
              </w:rPr>
            </w:pPr>
            <w:r/>
            <w:bookmarkStart w:id="177" w:name="_Hlk214115555"/>
            <w:r>
              <w:rPr>
                <w:rFonts w:hint="eastAsia" w:ascii="宋体" w:hAnsi="宋体" w:eastAsia="宋体"/>
                <w:szCs w:val="21"/>
              </w:rPr>
              <w:t xml:space="preserve">8</w:t>
            </w:r>
            <w:r/>
          </w:p>
        </w:tc>
        <w:tc>
          <w:tcPr>
            <w:tcW w:w="1276" w:type="dxa"/>
            <w:textDirection w:val="lrTb"/>
            <w:noWrap w:val="false"/>
          </w:tcPr>
          <w:p>
            <w:pPr>
              <w:spacing w:before="62" w:after="62"/>
              <w:rPr>
                <w:rFonts w:hint="eastAsia" w:ascii="宋体" w:hAnsi="宋体" w:eastAsia="宋体"/>
                <w:szCs w:val="21"/>
              </w:rPr>
            </w:pPr>
            <w:r>
              <w:rPr>
                <w:rFonts w:hint="eastAsia" w:ascii="宋体" w:hAnsi="宋体" w:eastAsia="宋体"/>
                <w:szCs w:val="21"/>
              </w:rPr>
              <w:t xml:space="preserve">系统集成费</w:t>
            </w:r>
            <w:r/>
          </w:p>
        </w:tc>
        <w:tc>
          <w:tcPr>
            <w:tcW w:w="4536" w:type="dxa"/>
            <w:textDirection w:val="lrTb"/>
            <w:noWrap w:val="false"/>
          </w:tcPr>
          <w:p>
            <w:pPr>
              <w:spacing w:before="62" w:after="62"/>
              <w:rPr>
                <w:rFonts w:hint="eastAsia" w:ascii="宋体" w:hAnsi="宋体" w:eastAsia="宋体"/>
                <w:szCs w:val="21"/>
              </w:rPr>
            </w:pPr>
            <w:r>
              <w:rPr>
                <w:rFonts w:hint="eastAsia" w:ascii="宋体" w:hAnsi="宋体" w:eastAsia="宋体"/>
                <w:szCs w:val="21"/>
              </w:rPr>
              <w:t xml:space="preserve">投标单位自行踏勘现场，所有施工、调试及安装服务都包含在本项内，投标人自行评估不可预测费，后期不得增补。</w:t>
            </w:r>
            <w:r/>
          </w:p>
        </w:tc>
        <w:tc>
          <w:tcPr>
            <w:tcW w:w="709" w:type="dxa"/>
            <w:textDirection w:val="lrTb"/>
            <w:noWrap w:val="false"/>
          </w:tcPr>
          <w:p>
            <w:pPr>
              <w:jc w:val="center"/>
              <w:spacing w:before="62" w:after="62"/>
              <w:rPr>
                <w:rFonts w:hint="eastAsia" w:ascii="宋体" w:hAnsi="宋体" w:eastAsia="宋体"/>
                <w:szCs w:val="21"/>
              </w:rPr>
            </w:pPr>
            <w:r>
              <w:rPr>
                <w:rFonts w:hint="eastAsia" w:ascii="宋体" w:hAnsi="宋体" w:eastAsia="宋体"/>
                <w:szCs w:val="21"/>
              </w:rPr>
              <w:t xml:space="preserve">1</w:t>
            </w:r>
            <w:r/>
          </w:p>
        </w:tc>
        <w:tc>
          <w:tcPr>
            <w:tcW w:w="1071" w:type="dxa"/>
            <w:textDirection w:val="lrTb"/>
            <w:noWrap w:val="false"/>
          </w:tcPr>
          <w:p>
            <w:pPr>
              <w:jc w:val="center"/>
              <w:spacing w:before="62" w:after="62"/>
              <w:rPr>
                <w:rFonts w:hint="eastAsia" w:ascii="宋体" w:hAnsi="宋体" w:eastAsia="宋体"/>
                <w:szCs w:val="21"/>
              </w:rPr>
            </w:pPr>
            <w:r>
              <w:rPr>
                <w:rFonts w:hint="eastAsia" w:ascii="宋体" w:hAnsi="宋体" w:eastAsia="宋体"/>
                <w:szCs w:val="21"/>
              </w:rPr>
            </w:r>
            <w:bookmarkEnd w:id="177"/>
            <w:r/>
            <w:r/>
          </w:p>
        </w:tc>
      </w:tr>
      <w:tr>
        <w:trPr>
          <w:jc w:val="center"/>
          <w:trHeight w:val="567"/>
        </w:trPr>
        <w:tc>
          <w:tcPr>
            <w:gridSpan w:val="5"/>
            <w:tcW w:w="8296" w:type="dxa"/>
            <w:vAlign w:val="center"/>
            <w:textDirection w:val="lrTb"/>
            <w:noWrap w:val="false"/>
          </w:tcPr>
          <w:p>
            <w:pPr>
              <w:jc w:val="center"/>
              <w:spacing w:before="62" w:after="62"/>
              <w:rPr>
                <w:rFonts w:hint="eastAsia" w:ascii="宋体" w:hAnsi="宋体" w:eastAsia="宋体"/>
                <w:b/>
                <w:bCs/>
                <w:szCs w:val="21"/>
              </w:rPr>
            </w:pPr>
            <w:r>
              <w:rPr>
                <w:rFonts w:hint="eastAsia" w:ascii="宋体" w:hAnsi="宋体" w:eastAsia="宋体"/>
                <w:b/>
                <w:bCs/>
                <w:szCs w:val="21"/>
              </w:rPr>
              <w:t xml:space="preserve">二、车载短波电台</w:t>
            </w:r>
            <w:r/>
          </w:p>
        </w:tc>
      </w:tr>
      <w:tr>
        <w:trPr>
          <w:jc w:val="center"/>
        </w:trPr>
        <w:tc>
          <w:tcPr>
            <w:tcW w:w="704" w:type="dxa"/>
            <w:textDirection w:val="lrTb"/>
            <w:noWrap w:val="false"/>
          </w:tcPr>
          <w:p>
            <w:pPr>
              <w:jc w:val="center"/>
              <w:spacing w:before="62" w:after="62"/>
              <w:rPr>
                <w:rFonts w:hint="eastAsia" w:ascii="宋体" w:hAnsi="宋体" w:eastAsia="宋体"/>
                <w:szCs w:val="21"/>
              </w:rPr>
            </w:pPr>
            <w:r>
              <w:rPr>
                <w:rFonts w:hint="eastAsia" w:ascii="宋体" w:hAnsi="宋体" w:eastAsia="宋体"/>
                <w:szCs w:val="21"/>
              </w:rPr>
              <w:t xml:space="preserve">1</w:t>
            </w:r>
            <w:r/>
          </w:p>
        </w:tc>
        <w:tc>
          <w:tcPr>
            <w:tcW w:w="1276" w:type="dxa"/>
            <w:textDirection w:val="lrTb"/>
            <w:noWrap w:val="false"/>
          </w:tcPr>
          <w:p>
            <w:pPr>
              <w:spacing w:before="62" w:after="62"/>
              <w:rPr>
                <w:rFonts w:hint="eastAsia" w:ascii="宋体" w:hAnsi="宋体" w:eastAsia="宋体"/>
                <w:szCs w:val="21"/>
              </w:rPr>
            </w:pPr>
            <w:r>
              <w:rPr>
                <w:rFonts w:ascii="宋体" w:hAnsi="宋体" w:eastAsia="宋体"/>
                <w:szCs w:val="21"/>
              </w:rPr>
              <w:t xml:space="preserve">125W车载自主选频短波电台</w:t>
            </w:r>
            <w:r/>
          </w:p>
        </w:tc>
        <w:tc>
          <w:tcPr>
            <w:tcW w:w="4536" w:type="dxa"/>
            <w:textDirection w:val="lrTb"/>
            <w:noWrap w:val="false"/>
          </w:tcPr>
          <w:p>
            <w:pPr>
              <w:spacing w:before="62" w:after="62"/>
              <w:rPr>
                <w:rFonts w:hint="eastAsia" w:ascii="宋体" w:hAnsi="宋体" w:eastAsia="宋体"/>
                <w:szCs w:val="21"/>
              </w:rPr>
            </w:pPr>
            <w:r>
              <w:rPr>
                <w:rFonts w:hint="eastAsia" w:ascii="宋体" w:hAnsi="宋体" w:eastAsia="宋体"/>
                <w:szCs w:val="21"/>
              </w:rPr>
              <w:t xml:space="preserve">主要性能要求如下：</w:t>
            </w:r>
            <w:r/>
          </w:p>
          <w:p>
            <w:pPr>
              <w:spacing w:before="62" w:after="62"/>
              <w:rPr>
                <w:rFonts w:hint="eastAsia" w:ascii="宋体" w:hAnsi="宋体" w:eastAsia="宋体"/>
                <w:szCs w:val="21"/>
              </w:rPr>
            </w:pPr>
            <w:r>
              <w:rPr>
                <w:rFonts w:ascii="宋体" w:hAnsi="宋体" w:eastAsia="宋体"/>
                <w:szCs w:val="21"/>
              </w:rPr>
              <w:t xml:space="preserve">1.</w:t>
            </w:r>
            <w:r>
              <w:rPr>
                <w:rFonts w:hint="eastAsia" w:ascii="宋体" w:hAnsi="宋体" w:eastAsia="宋体"/>
                <w:b/>
                <w:bCs/>
                <w:sz w:val="24"/>
              </w:rPr>
              <w:t xml:space="preserve">★</w:t>
            </w:r>
            <w:r>
              <w:rPr>
                <w:rFonts w:ascii="宋体" w:hAnsi="宋体" w:eastAsia="宋体"/>
                <w:szCs w:val="21"/>
              </w:rPr>
              <w:t xml:space="preserve">与</w:t>
            </w:r>
            <w:r>
              <w:rPr>
                <w:rFonts w:hint="eastAsia" w:ascii="宋体" w:hAnsi="宋体" w:eastAsia="宋体"/>
                <w:szCs w:val="21"/>
              </w:rPr>
              <w:t xml:space="preserve">盐城市国动办</w:t>
            </w:r>
            <w:r>
              <w:rPr>
                <w:rFonts w:ascii="宋体" w:hAnsi="宋体" w:eastAsia="宋体"/>
                <w:szCs w:val="21"/>
              </w:rPr>
              <w:t xml:space="preserve">短波试点网络能够采用自主选频模式互联互通；</w:t>
            </w:r>
            <w:r/>
          </w:p>
          <w:p>
            <w:pPr>
              <w:spacing w:before="62" w:after="62"/>
              <w:rPr>
                <w:rFonts w:hint="eastAsia" w:ascii="宋体" w:hAnsi="宋体" w:eastAsia="宋体"/>
                <w:szCs w:val="21"/>
              </w:rPr>
            </w:pPr>
            <w:r>
              <w:rPr>
                <w:rFonts w:ascii="宋体" w:hAnsi="宋体" w:eastAsia="宋体"/>
                <w:szCs w:val="21"/>
              </w:rPr>
              <w:t xml:space="preserve">2.▲自主选频有三种建链模式：快速建链、优选建链、指配优先建链；</w:t>
            </w:r>
            <w:r/>
          </w:p>
          <w:p>
            <w:pPr>
              <w:spacing w:before="62" w:after="62"/>
              <w:rPr>
                <w:rFonts w:hint="eastAsia" w:ascii="宋体" w:hAnsi="宋体" w:eastAsia="宋体"/>
                <w:szCs w:val="21"/>
              </w:rPr>
            </w:pPr>
            <w:r>
              <w:rPr>
                <w:rFonts w:ascii="宋体" w:hAnsi="宋体" w:eastAsia="宋体"/>
                <w:szCs w:val="21"/>
              </w:rPr>
              <w:t xml:space="preserve">3.具有自主选频功能、频谱监测功能、非实时语音功能、通信链路自动维护功能、智能跟踪移动载体功能、态势监控功能；</w:t>
            </w:r>
            <w:r/>
          </w:p>
          <w:p>
            <w:pPr>
              <w:spacing w:before="62" w:after="62"/>
              <w:rPr>
                <w:rFonts w:hint="eastAsia" w:ascii="宋体" w:hAnsi="宋体" w:eastAsia="宋体"/>
                <w:szCs w:val="21"/>
              </w:rPr>
            </w:pPr>
            <w:r>
              <w:rPr>
                <w:rFonts w:ascii="宋体" w:hAnsi="宋体" w:eastAsia="宋体"/>
                <w:szCs w:val="21"/>
              </w:rPr>
              <w:t xml:space="preserve">4.北斗定位、校时：电台内置北斗接收模块，外接北斗接收天线，实现电台定位和校时；</w:t>
            </w:r>
            <w:r/>
          </w:p>
          <w:p>
            <w:pPr>
              <w:spacing w:before="62" w:after="62"/>
              <w:rPr>
                <w:rFonts w:hint="eastAsia" w:ascii="宋体" w:hAnsi="宋体" w:eastAsia="宋体"/>
                <w:szCs w:val="21"/>
              </w:rPr>
            </w:pPr>
            <w:r>
              <w:rPr>
                <w:rFonts w:ascii="宋体" w:hAnsi="宋体" w:eastAsia="宋体"/>
                <w:szCs w:val="21"/>
              </w:rPr>
              <w:t xml:space="preserve">5.自主选频探测模式短信（非建链微信通信模式）：电台在探测过程中可以发送文字短信、话音短信、北斗定位信息；</w:t>
            </w:r>
            <w:r/>
          </w:p>
          <w:p>
            <w:pPr>
              <w:spacing w:before="62" w:after="62"/>
              <w:rPr>
                <w:rFonts w:hint="eastAsia" w:ascii="宋体" w:hAnsi="宋体" w:eastAsia="宋体"/>
                <w:szCs w:val="21"/>
              </w:rPr>
            </w:pPr>
            <w:r>
              <w:rPr>
                <w:rFonts w:ascii="宋体" w:hAnsi="宋体" w:eastAsia="宋体"/>
                <w:szCs w:val="21"/>
              </w:rPr>
              <w:t xml:space="preserve">6.工作模式：定频通信、自主选频通信、自动控制通信、自适应通信、点对点通信、点对多点（组网）通信、转信通信；</w:t>
            </w:r>
            <w:r/>
          </w:p>
          <w:p>
            <w:pPr>
              <w:spacing w:before="62" w:after="62"/>
              <w:rPr>
                <w:rFonts w:hint="eastAsia" w:ascii="宋体" w:hAnsi="宋体" w:eastAsia="宋体"/>
                <w:szCs w:val="21"/>
              </w:rPr>
            </w:pPr>
            <w:r>
              <w:rPr>
                <w:rFonts w:ascii="宋体" w:hAnsi="宋体" w:eastAsia="宋体"/>
                <w:szCs w:val="21"/>
              </w:rPr>
              <w:t xml:space="preserve">7.业务类型：模拟话、声码话、数据流、数据报、非实时语音（微信话音）；</w:t>
            </w:r>
            <w:r/>
          </w:p>
          <w:p>
            <w:pPr>
              <w:spacing w:before="62" w:after="62"/>
              <w:rPr>
                <w:rFonts w:hint="eastAsia" w:ascii="宋体" w:hAnsi="宋体" w:eastAsia="宋体"/>
                <w:szCs w:val="21"/>
              </w:rPr>
            </w:pPr>
            <w:r>
              <w:rPr>
                <w:rFonts w:ascii="宋体" w:hAnsi="宋体" w:eastAsia="宋体"/>
                <w:szCs w:val="21"/>
              </w:rPr>
              <w:t xml:space="preserve">8.自主选频探测性能：</w:t>
            </w:r>
            <w:r/>
          </w:p>
          <w:p>
            <w:pPr>
              <w:spacing w:before="62" w:after="62"/>
              <w:rPr>
                <w:rFonts w:hint="eastAsia" w:ascii="宋体" w:hAnsi="宋体" w:eastAsia="宋体"/>
                <w:szCs w:val="21"/>
              </w:rPr>
            </w:pPr>
            <w:r>
              <w:rPr>
                <w:rFonts w:hint="eastAsia" w:ascii="宋体" w:hAnsi="宋体" w:eastAsia="宋体"/>
                <w:szCs w:val="21"/>
              </w:rPr>
              <w:t xml:space="preserve">①探测信号捕获带宽：</w:t>
            </w:r>
            <w:r>
              <w:rPr>
                <w:rFonts w:ascii="宋体" w:hAnsi="宋体" w:eastAsia="宋体"/>
                <w:szCs w:val="21"/>
              </w:rPr>
              <w:t xml:space="preserve">1.6 MHz～30 MHz；</w:t>
            </w:r>
            <w:r/>
          </w:p>
          <w:p>
            <w:pPr>
              <w:spacing w:before="62" w:after="62"/>
              <w:rPr>
                <w:rFonts w:hint="eastAsia" w:ascii="宋体" w:hAnsi="宋体" w:eastAsia="宋体"/>
                <w:szCs w:val="21"/>
              </w:rPr>
            </w:pPr>
            <w:r>
              <w:rPr>
                <w:rFonts w:hint="eastAsia" w:ascii="宋体" w:hAnsi="宋体" w:eastAsia="宋体"/>
                <w:szCs w:val="21"/>
              </w:rPr>
              <w:t xml:space="preserve">②捕获门限：</w:t>
            </w:r>
            <w:r>
              <w:rPr>
                <w:rFonts w:ascii="宋体" w:hAnsi="宋体" w:eastAsia="宋体"/>
                <w:szCs w:val="21"/>
              </w:rPr>
              <w:t xml:space="preserve">-6 dB；</w:t>
            </w:r>
            <w:r/>
          </w:p>
          <w:p>
            <w:pPr>
              <w:spacing w:before="62" w:after="62"/>
              <w:rPr>
                <w:rFonts w:hint="eastAsia" w:ascii="宋体" w:hAnsi="宋体" w:eastAsia="宋体"/>
                <w:szCs w:val="21"/>
              </w:rPr>
            </w:pPr>
            <w:r>
              <w:rPr>
                <w:rFonts w:hint="eastAsia" w:ascii="宋体" w:hAnsi="宋体" w:eastAsia="宋体"/>
                <w:szCs w:val="21"/>
              </w:rPr>
              <w:t xml:space="preserve">③捕获概率：≥</w:t>
            </w:r>
            <w:r>
              <w:rPr>
                <w:rFonts w:ascii="宋体" w:hAnsi="宋体" w:eastAsia="宋体"/>
                <w:szCs w:val="21"/>
              </w:rPr>
              <w:t xml:space="preserve">95%；</w:t>
            </w:r>
            <w:r/>
          </w:p>
          <w:p>
            <w:pPr>
              <w:spacing w:before="62" w:after="62"/>
              <w:rPr>
                <w:rFonts w:hint="eastAsia" w:ascii="宋体" w:hAnsi="宋体" w:eastAsia="宋体"/>
                <w:szCs w:val="21"/>
              </w:rPr>
            </w:pPr>
            <w:r>
              <w:rPr>
                <w:rFonts w:ascii="宋体" w:hAnsi="宋体" w:eastAsia="宋体"/>
                <w:szCs w:val="21"/>
              </w:rPr>
              <w:t xml:space="preserve">9.建链性能：</w:t>
            </w:r>
            <w:r/>
          </w:p>
          <w:p>
            <w:pPr>
              <w:spacing w:before="62" w:after="62"/>
              <w:rPr>
                <w:rFonts w:hint="eastAsia" w:ascii="宋体" w:hAnsi="宋体" w:eastAsia="宋体"/>
                <w:szCs w:val="21"/>
              </w:rPr>
            </w:pPr>
            <w:r>
              <w:rPr>
                <w:rFonts w:hint="eastAsia" w:ascii="宋体" w:hAnsi="宋体" w:eastAsia="宋体"/>
                <w:szCs w:val="21"/>
              </w:rPr>
              <w:t xml:space="preserve">①平均建链时间：≤</w:t>
            </w:r>
            <w:r>
              <w:rPr>
                <w:rFonts w:ascii="宋体" w:hAnsi="宋体" w:eastAsia="宋体"/>
                <w:szCs w:val="21"/>
              </w:rPr>
              <w:t xml:space="preserve">30 s；</w:t>
            </w:r>
            <w:r/>
          </w:p>
          <w:p>
            <w:pPr>
              <w:spacing w:before="62" w:after="62"/>
              <w:rPr>
                <w:rFonts w:hint="eastAsia" w:ascii="宋体" w:hAnsi="宋体" w:eastAsia="宋体"/>
                <w:szCs w:val="21"/>
              </w:rPr>
            </w:pPr>
            <w:r>
              <w:rPr>
                <w:rFonts w:hint="eastAsia" w:ascii="宋体" w:hAnsi="宋体" w:eastAsia="宋体"/>
                <w:szCs w:val="21"/>
              </w:rPr>
              <w:t xml:space="preserve">②建链门限：</w:t>
            </w:r>
            <w:r>
              <w:rPr>
                <w:rFonts w:ascii="宋体" w:hAnsi="宋体" w:eastAsia="宋体"/>
                <w:szCs w:val="21"/>
              </w:rPr>
              <w:t xml:space="preserve">-5 dB；</w:t>
            </w:r>
            <w:r/>
          </w:p>
          <w:p>
            <w:pPr>
              <w:spacing w:before="62" w:after="62"/>
              <w:rPr>
                <w:rFonts w:hint="eastAsia" w:ascii="宋体" w:hAnsi="宋体" w:eastAsia="宋体"/>
                <w:szCs w:val="21"/>
              </w:rPr>
            </w:pPr>
            <w:r>
              <w:rPr>
                <w:rFonts w:ascii="宋体" w:hAnsi="宋体" w:eastAsia="宋体"/>
                <w:szCs w:val="21"/>
              </w:rPr>
              <w:t xml:space="preserve">10.数据接口：可通过串口、K口实现数据传输；</w:t>
            </w:r>
            <w:r/>
          </w:p>
          <w:p>
            <w:pPr>
              <w:spacing w:before="62" w:after="62"/>
              <w:rPr>
                <w:rFonts w:hint="eastAsia" w:ascii="宋体" w:hAnsi="宋体" w:eastAsia="宋体"/>
                <w:szCs w:val="21"/>
              </w:rPr>
            </w:pPr>
            <w:r>
              <w:rPr>
                <w:rFonts w:ascii="宋体" w:hAnsi="宋体" w:eastAsia="宋体"/>
                <w:szCs w:val="21"/>
              </w:rPr>
              <w:t xml:space="preserve">11.呼叫类型：单呼、网呼；</w:t>
            </w:r>
            <w:r/>
          </w:p>
          <w:p>
            <w:pPr>
              <w:spacing w:before="62" w:after="62"/>
              <w:rPr>
                <w:rFonts w:hint="eastAsia" w:ascii="宋体" w:hAnsi="宋体" w:eastAsia="宋体"/>
                <w:szCs w:val="21"/>
              </w:rPr>
            </w:pPr>
            <w:r>
              <w:rPr>
                <w:rFonts w:ascii="宋体" w:hAnsi="宋体" w:eastAsia="宋体"/>
                <w:szCs w:val="21"/>
              </w:rPr>
              <w:t xml:space="preserve">12.语音编码方式：600 bps声码话；</w:t>
            </w:r>
            <w:r/>
          </w:p>
          <w:p>
            <w:pPr>
              <w:spacing w:before="62" w:after="62"/>
              <w:rPr>
                <w:rFonts w:hint="eastAsia" w:ascii="宋体" w:hAnsi="宋体" w:eastAsia="宋体"/>
                <w:szCs w:val="21"/>
              </w:rPr>
            </w:pPr>
            <w:r>
              <w:rPr>
                <w:rFonts w:ascii="宋体" w:hAnsi="宋体" w:eastAsia="宋体"/>
                <w:szCs w:val="21"/>
              </w:rPr>
              <w:t xml:space="preserve">13.业务传输性能：声码话延时小于800 ms，声码话信噪比不低于-3 dB，数据报文长度不大于1000 Byte，传输速率150 bps；</w:t>
            </w:r>
            <w:r/>
          </w:p>
          <w:p>
            <w:pPr>
              <w:spacing w:before="62" w:after="62"/>
              <w:rPr>
                <w:rFonts w:hint="eastAsia" w:ascii="宋体" w:hAnsi="宋体" w:eastAsia="宋体"/>
                <w:szCs w:val="21"/>
              </w:rPr>
            </w:pPr>
            <w:r>
              <w:rPr>
                <w:rFonts w:ascii="宋体" w:hAnsi="宋体" w:eastAsia="宋体"/>
                <w:szCs w:val="21"/>
              </w:rPr>
              <w:t xml:space="preserve">14.数据速率：75 bps、150 bps、300 bps、600 bps、1200 bps、2400 bps（速率自适应）；</w:t>
            </w:r>
            <w:r/>
          </w:p>
          <w:p>
            <w:pPr>
              <w:spacing w:before="62" w:after="62"/>
              <w:rPr>
                <w:rFonts w:hint="eastAsia" w:ascii="宋体" w:hAnsi="宋体" w:eastAsia="宋体"/>
                <w:szCs w:val="21"/>
              </w:rPr>
            </w:pPr>
            <w:r>
              <w:rPr>
                <w:rFonts w:ascii="宋体" w:hAnsi="宋体" w:eastAsia="宋体"/>
                <w:szCs w:val="21"/>
              </w:rPr>
              <w:t xml:space="preserve">15.频率范围：1.6 MHz～30 MHz；</w:t>
            </w:r>
            <w:r/>
          </w:p>
          <w:p>
            <w:pPr>
              <w:spacing w:before="62" w:after="62"/>
              <w:rPr>
                <w:rFonts w:hint="eastAsia" w:ascii="宋体" w:hAnsi="宋体" w:eastAsia="宋体"/>
                <w:szCs w:val="21"/>
              </w:rPr>
            </w:pPr>
            <w:r>
              <w:rPr>
                <w:rFonts w:ascii="宋体" w:hAnsi="宋体" w:eastAsia="宋体"/>
                <w:szCs w:val="21"/>
              </w:rPr>
              <w:t xml:space="preserve">16.频率间隔：100 Hz；</w:t>
            </w:r>
            <w:r/>
          </w:p>
          <w:p>
            <w:pPr>
              <w:spacing w:before="62" w:after="62"/>
              <w:rPr>
                <w:rFonts w:hint="eastAsia" w:ascii="宋体" w:hAnsi="宋体" w:eastAsia="宋体"/>
                <w:szCs w:val="21"/>
              </w:rPr>
            </w:pPr>
            <w:r>
              <w:rPr>
                <w:rFonts w:ascii="宋体" w:hAnsi="宋体" w:eastAsia="宋体"/>
                <w:szCs w:val="21"/>
              </w:rPr>
              <w:t xml:space="preserve">17.平均功率：≥85 W（CW）；</w:t>
            </w:r>
            <w:r/>
          </w:p>
          <w:p>
            <w:pPr>
              <w:spacing w:before="62" w:after="62"/>
              <w:rPr>
                <w:rFonts w:hint="eastAsia" w:ascii="宋体" w:hAnsi="宋体" w:eastAsia="宋体"/>
                <w:szCs w:val="21"/>
              </w:rPr>
            </w:pPr>
            <w:r>
              <w:rPr>
                <w:rFonts w:ascii="宋体" w:hAnsi="宋体" w:eastAsia="宋体"/>
                <w:szCs w:val="21"/>
              </w:rPr>
              <w:t xml:space="preserve">18.发射功耗：≤500 W（在工作电压24V时测试）；</w:t>
            </w:r>
            <w:r/>
          </w:p>
          <w:p>
            <w:pPr>
              <w:spacing w:before="62" w:after="62"/>
              <w:rPr>
                <w:rFonts w:hint="eastAsia" w:ascii="宋体" w:hAnsi="宋体" w:eastAsia="宋体"/>
                <w:szCs w:val="21"/>
              </w:rPr>
            </w:pPr>
            <w:r>
              <w:rPr>
                <w:rFonts w:ascii="宋体" w:hAnsi="宋体" w:eastAsia="宋体"/>
                <w:szCs w:val="21"/>
              </w:rPr>
              <w:t xml:space="preserve">19.峰包功率：125 W±1 dB（USB，LSB）；</w:t>
            </w:r>
            <w:r/>
          </w:p>
          <w:p>
            <w:pPr>
              <w:spacing w:before="62" w:after="62"/>
              <w:rPr>
                <w:rFonts w:hint="eastAsia" w:ascii="宋体" w:hAnsi="宋体" w:eastAsia="宋体"/>
                <w:szCs w:val="21"/>
              </w:rPr>
            </w:pPr>
            <w:r>
              <w:rPr>
                <w:rFonts w:ascii="宋体" w:hAnsi="宋体" w:eastAsia="宋体"/>
                <w:szCs w:val="21"/>
              </w:rPr>
              <w:t xml:space="preserve">20.基准灵敏度：≤1 μV时，SINAD≥12 dB（USB、LSB）；</w:t>
            </w:r>
            <w:r/>
          </w:p>
          <w:p>
            <w:pPr>
              <w:spacing w:before="62" w:after="62"/>
              <w:rPr>
                <w:rFonts w:hint="eastAsia" w:ascii="宋体" w:hAnsi="宋体" w:eastAsia="宋体"/>
                <w:szCs w:val="21"/>
              </w:rPr>
            </w:pPr>
            <w:r>
              <w:rPr>
                <w:rFonts w:ascii="宋体" w:hAnsi="宋体" w:eastAsia="宋体"/>
                <w:szCs w:val="21"/>
              </w:rPr>
              <w:t xml:space="preserve">21.额定工作电压：24.0 VDC；电源电压范围：19.2 V～32.4 V；</w:t>
            </w:r>
            <w:r/>
          </w:p>
          <w:p>
            <w:pPr>
              <w:spacing w:before="62" w:after="62"/>
              <w:rPr>
                <w:rFonts w:hint="eastAsia" w:ascii="宋体" w:hAnsi="宋体" w:eastAsia="宋体"/>
                <w:szCs w:val="21"/>
              </w:rPr>
            </w:pPr>
            <w:r>
              <w:rPr>
                <w:rFonts w:ascii="宋体" w:hAnsi="宋体" w:eastAsia="宋体"/>
                <w:szCs w:val="21"/>
              </w:rPr>
              <w:t xml:space="preserve">22.工作温度：-25 ℃～+55 ℃。</w:t>
            </w:r>
            <w:r/>
          </w:p>
        </w:tc>
        <w:tc>
          <w:tcPr>
            <w:tcW w:w="709" w:type="dxa"/>
            <w:textDirection w:val="lrTb"/>
            <w:noWrap w:val="false"/>
          </w:tcPr>
          <w:p>
            <w:pPr>
              <w:jc w:val="center"/>
              <w:spacing w:before="62" w:after="62"/>
              <w:rPr>
                <w:rFonts w:hint="eastAsia" w:ascii="宋体" w:hAnsi="宋体" w:eastAsia="宋体"/>
                <w:szCs w:val="21"/>
              </w:rPr>
            </w:pPr>
            <w:r>
              <w:rPr>
                <w:rFonts w:hint="eastAsia" w:ascii="宋体" w:hAnsi="宋体" w:eastAsia="宋体"/>
                <w:szCs w:val="21"/>
              </w:rPr>
              <w:t xml:space="preserve">1</w:t>
            </w:r>
            <w:r/>
          </w:p>
        </w:tc>
        <w:tc>
          <w:tcPr>
            <w:tcW w:w="1071" w:type="dxa"/>
            <w:textDirection w:val="lrTb"/>
            <w:noWrap w:val="false"/>
          </w:tcPr>
          <w:p>
            <w:pPr>
              <w:jc w:val="left"/>
              <w:spacing w:before="62" w:after="62"/>
              <w:rPr>
                <w:rFonts w:hint="eastAsia" w:ascii="宋体" w:hAnsi="宋体" w:eastAsia="宋体"/>
                <w:szCs w:val="21"/>
              </w:rPr>
            </w:pPr>
            <w:r>
              <w:rPr>
                <w:rFonts w:hint="eastAsia" w:ascii="宋体" w:hAnsi="宋体" w:eastAsia="宋体"/>
                <w:szCs w:val="21"/>
              </w:rPr>
              <w:t xml:space="preserve">投标人须提供与盐城市国动办短波试点网络可以采用自主选频模式互联互通的承诺书以及电台操作界面显示的快速建链、优选建链、指配优先建链共三种自主选频建链模式的功能截图。</w:t>
            </w:r>
            <w:r/>
          </w:p>
        </w:tc>
      </w:tr>
      <w:tr>
        <w:trPr>
          <w:jc w:val="center"/>
        </w:trPr>
        <w:tc>
          <w:tcPr>
            <w:tcW w:w="704" w:type="dxa"/>
            <w:textDirection w:val="lrTb"/>
            <w:noWrap w:val="false"/>
          </w:tcPr>
          <w:p>
            <w:pPr>
              <w:jc w:val="center"/>
              <w:spacing w:before="62" w:after="62"/>
              <w:rPr>
                <w:rFonts w:hint="eastAsia" w:ascii="宋体" w:hAnsi="宋体" w:eastAsia="宋体"/>
                <w:szCs w:val="21"/>
              </w:rPr>
            </w:pPr>
            <w:r>
              <w:rPr>
                <w:rFonts w:hint="eastAsia" w:ascii="宋体" w:hAnsi="宋体" w:eastAsia="宋体"/>
                <w:szCs w:val="21"/>
              </w:rPr>
              <w:t xml:space="preserve">2</w:t>
            </w:r>
            <w:r/>
          </w:p>
        </w:tc>
        <w:tc>
          <w:tcPr>
            <w:tcW w:w="1276" w:type="dxa"/>
            <w:textDirection w:val="lrTb"/>
            <w:noWrap w:val="false"/>
          </w:tcPr>
          <w:p>
            <w:pPr>
              <w:spacing w:before="62" w:after="62"/>
              <w:rPr>
                <w:rFonts w:hint="eastAsia" w:ascii="宋体" w:hAnsi="宋体" w:eastAsia="宋体"/>
                <w:szCs w:val="21"/>
              </w:rPr>
            </w:pPr>
            <w:r>
              <w:rPr>
                <w:rFonts w:hint="eastAsia" w:ascii="宋体" w:hAnsi="宋体" w:eastAsia="宋体"/>
                <w:szCs w:val="21"/>
              </w:rPr>
              <w:t xml:space="preserve">车载短波电台天馈系统（天调）</w:t>
            </w:r>
            <w:r/>
          </w:p>
        </w:tc>
        <w:tc>
          <w:tcPr>
            <w:tcW w:w="4536" w:type="dxa"/>
            <w:textDirection w:val="lrTb"/>
            <w:noWrap w:val="false"/>
          </w:tcPr>
          <w:p>
            <w:pPr>
              <w:spacing w:before="62" w:after="62"/>
              <w:rPr>
                <w:rFonts w:hint="eastAsia" w:ascii="宋体" w:hAnsi="宋体" w:eastAsia="宋体"/>
                <w:szCs w:val="21"/>
              </w:rPr>
            </w:pPr>
            <w:r>
              <w:rPr>
                <w:rFonts w:ascii="宋体" w:hAnsi="宋体" w:eastAsia="宋体"/>
                <w:szCs w:val="21"/>
              </w:rPr>
              <w:t xml:space="preserve">1.</w:t>
            </w:r>
            <w:r>
              <w:rPr>
                <w:rFonts w:ascii="宋体" w:hAnsi="宋体" w:eastAsia="宋体"/>
                <w:spacing w:val="-2"/>
                <w:szCs w:val="21"/>
              </w:rPr>
              <w:t xml:space="preserve">采用“矢量调谐”算法，调谐精度高、调谐时间短，能为125W短波电台与天线之间提供良好的匹配网络；</w:t>
            </w:r>
            <w:r/>
          </w:p>
          <w:p>
            <w:pPr>
              <w:spacing w:before="62" w:after="62"/>
              <w:rPr>
                <w:rFonts w:hint="eastAsia" w:ascii="宋体" w:hAnsi="宋体" w:eastAsia="宋体"/>
                <w:szCs w:val="21"/>
              </w:rPr>
            </w:pPr>
            <w:r>
              <w:rPr>
                <w:rFonts w:ascii="宋体" w:hAnsi="宋体" w:eastAsia="宋体"/>
                <w:szCs w:val="21"/>
              </w:rPr>
              <w:t xml:space="preserve">2.支持自主选频短波电台接入；</w:t>
            </w:r>
            <w:r/>
          </w:p>
          <w:p>
            <w:pPr>
              <w:spacing w:before="62" w:after="62"/>
              <w:rPr>
                <w:rFonts w:hint="eastAsia" w:ascii="宋体" w:hAnsi="宋体" w:eastAsia="宋体"/>
                <w:spacing w:val="-4"/>
                <w:szCs w:val="21"/>
              </w:rPr>
            </w:pPr>
            <w:r>
              <w:rPr>
                <w:rFonts w:ascii="宋体" w:hAnsi="宋体" w:eastAsia="宋体"/>
                <w:spacing w:val="-4"/>
                <w:szCs w:val="21"/>
              </w:rPr>
              <w:t xml:space="preserve">3.接口方式：电源、控制信号、射频信号复用一根电缆；</w:t>
            </w:r>
            <w:r/>
          </w:p>
          <w:p>
            <w:pPr>
              <w:spacing w:before="62" w:after="62"/>
              <w:rPr>
                <w:rFonts w:hint="eastAsia" w:ascii="宋体" w:hAnsi="宋体" w:eastAsia="宋体"/>
                <w:szCs w:val="21"/>
              </w:rPr>
            </w:pPr>
            <w:r>
              <w:rPr>
                <w:rFonts w:ascii="宋体" w:hAnsi="宋体" w:eastAsia="宋体"/>
                <w:szCs w:val="21"/>
              </w:rPr>
              <w:t xml:space="preserve">4.频率范围：1.8～30MHz；</w:t>
            </w:r>
            <w:r/>
          </w:p>
          <w:p>
            <w:pPr>
              <w:spacing w:before="62" w:after="62"/>
              <w:rPr>
                <w:rFonts w:hint="eastAsia" w:ascii="宋体" w:hAnsi="宋体" w:eastAsia="宋体"/>
                <w:szCs w:val="21"/>
              </w:rPr>
            </w:pPr>
            <w:r>
              <w:rPr>
                <w:rFonts w:ascii="宋体" w:hAnsi="宋体" w:eastAsia="宋体"/>
                <w:szCs w:val="21"/>
              </w:rPr>
              <w:t xml:space="preserve">5.额定输入功率：≤150W；</w:t>
            </w:r>
            <w:r/>
          </w:p>
          <w:p>
            <w:pPr>
              <w:spacing w:before="62" w:after="62"/>
              <w:rPr>
                <w:rFonts w:hint="eastAsia" w:ascii="宋体" w:hAnsi="宋体" w:eastAsia="宋体"/>
                <w:szCs w:val="21"/>
              </w:rPr>
            </w:pPr>
            <w:r>
              <w:rPr>
                <w:rFonts w:ascii="宋体" w:hAnsi="宋体" w:eastAsia="宋体"/>
                <w:szCs w:val="21"/>
              </w:rPr>
              <w:t xml:space="preserve">6.电压驻波比（VSWR）：≤1.5；</w:t>
            </w:r>
            <w:r/>
          </w:p>
          <w:p>
            <w:pPr>
              <w:spacing w:before="62" w:after="62"/>
              <w:rPr>
                <w:rFonts w:hint="eastAsia" w:ascii="宋体" w:hAnsi="宋体" w:eastAsia="宋体"/>
                <w:szCs w:val="21"/>
              </w:rPr>
            </w:pPr>
            <w:r>
              <w:rPr>
                <w:rFonts w:ascii="宋体" w:hAnsi="宋体" w:eastAsia="宋体"/>
                <w:szCs w:val="21"/>
              </w:rPr>
              <w:t xml:space="preserve">7.调谐时的功率：3W～8W；</w:t>
            </w:r>
            <w:r/>
          </w:p>
          <w:p>
            <w:pPr>
              <w:spacing w:before="62" w:after="62"/>
              <w:rPr>
                <w:rFonts w:hint="eastAsia" w:ascii="宋体" w:hAnsi="宋体" w:eastAsia="宋体"/>
                <w:szCs w:val="21"/>
              </w:rPr>
            </w:pPr>
            <w:r>
              <w:rPr>
                <w:rFonts w:ascii="宋体" w:hAnsi="宋体" w:eastAsia="宋体"/>
                <w:szCs w:val="21"/>
              </w:rPr>
              <w:t xml:space="preserve">8.初始调谐时间：≤1.5s；</w:t>
            </w:r>
            <w:r/>
          </w:p>
          <w:p>
            <w:pPr>
              <w:spacing w:before="62" w:after="62"/>
              <w:rPr>
                <w:rFonts w:hint="eastAsia" w:ascii="宋体" w:hAnsi="宋体" w:eastAsia="宋体"/>
                <w:szCs w:val="21"/>
              </w:rPr>
            </w:pPr>
            <w:r>
              <w:rPr>
                <w:rFonts w:ascii="宋体" w:hAnsi="宋体" w:eastAsia="宋体"/>
                <w:szCs w:val="21"/>
              </w:rPr>
              <w:t xml:space="preserve">9.预置信道调谐时间：≤50ms；</w:t>
            </w:r>
            <w:r/>
          </w:p>
          <w:p>
            <w:pPr>
              <w:spacing w:before="62" w:after="62"/>
              <w:rPr>
                <w:rFonts w:hint="eastAsia" w:ascii="宋体" w:hAnsi="宋体" w:eastAsia="宋体"/>
                <w:szCs w:val="21"/>
              </w:rPr>
            </w:pPr>
            <w:r>
              <w:rPr>
                <w:rFonts w:ascii="宋体" w:hAnsi="宋体" w:eastAsia="宋体"/>
                <w:szCs w:val="21"/>
              </w:rPr>
              <w:t xml:space="preserve">10.电源电压：DC24V。</w:t>
            </w:r>
            <w:r/>
          </w:p>
        </w:tc>
        <w:tc>
          <w:tcPr>
            <w:tcW w:w="709" w:type="dxa"/>
            <w:textDirection w:val="lrTb"/>
            <w:noWrap w:val="false"/>
          </w:tcPr>
          <w:p>
            <w:pPr>
              <w:jc w:val="center"/>
              <w:spacing w:before="62" w:after="62"/>
              <w:rPr>
                <w:rFonts w:hint="eastAsia" w:ascii="宋体" w:hAnsi="宋体" w:eastAsia="宋体"/>
                <w:szCs w:val="21"/>
              </w:rPr>
            </w:pPr>
            <w:r>
              <w:rPr>
                <w:rFonts w:hint="eastAsia" w:ascii="宋体" w:hAnsi="宋体" w:eastAsia="宋体"/>
                <w:szCs w:val="21"/>
              </w:rPr>
              <w:t xml:space="preserve">1</w:t>
            </w:r>
            <w:r/>
          </w:p>
        </w:tc>
        <w:tc>
          <w:tcPr>
            <w:tcW w:w="1071" w:type="dxa"/>
            <w:textDirection w:val="lrTb"/>
            <w:noWrap w:val="false"/>
          </w:tcPr>
          <w:p>
            <w:pPr>
              <w:jc w:val="center"/>
              <w:spacing w:before="62" w:after="62"/>
              <w:rPr>
                <w:rFonts w:hint="eastAsia" w:ascii="宋体" w:hAnsi="宋体" w:eastAsia="宋体"/>
                <w:szCs w:val="21"/>
              </w:rPr>
            </w:pPr>
            <w:r>
              <w:rPr>
                <w:rFonts w:hint="eastAsia" w:ascii="宋体" w:hAnsi="宋体" w:eastAsia="宋体"/>
                <w:szCs w:val="21"/>
              </w:rPr>
            </w:r>
            <w:r/>
          </w:p>
        </w:tc>
      </w:tr>
      <w:tr>
        <w:trPr>
          <w:jc w:val="center"/>
        </w:trPr>
        <w:tc>
          <w:tcPr>
            <w:tcW w:w="704" w:type="dxa"/>
            <w:textDirection w:val="lrTb"/>
            <w:noWrap w:val="false"/>
          </w:tcPr>
          <w:p>
            <w:pPr>
              <w:jc w:val="center"/>
              <w:spacing w:before="62" w:after="62"/>
              <w:rPr>
                <w:rFonts w:hint="eastAsia" w:ascii="宋体" w:hAnsi="宋体" w:eastAsia="宋体"/>
                <w:szCs w:val="21"/>
              </w:rPr>
            </w:pPr>
            <w:r>
              <w:rPr>
                <w:rFonts w:hint="eastAsia" w:ascii="宋体" w:hAnsi="宋体" w:eastAsia="宋体"/>
                <w:szCs w:val="21"/>
              </w:rPr>
              <w:t xml:space="preserve">3</w:t>
            </w:r>
            <w:r/>
          </w:p>
        </w:tc>
        <w:tc>
          <w:tcPr>
            <w:tcW w:w="1276" w:type="dxa"/>
            <w:textDirection w:val="lrTb"/>
            <w:noWrap w:val="false"/>
          </w:tcPr>
          <w:p>
            <w:pPr>
              <w:spacing w:before="62" w:after="62"/>
              <w:rPr>
                <w:rFonts w:hint="eastAsia" w:ascii="宋体" w:hAnsi="宋体" w:eastAsia="宋体"/>
                <w:szCs w:val="21"/>
              </w:rPr>
            </w:pPr>
            <w:r>
              <w:rPr>
                <w:rFonts w:hint="eastAsia" w:ascii="宋体" w:hAnsi="宋体" w:eastAsia="宋体"/>
                <w:szCs w:val="21"/>
              </w:rPr>
              <w:t xml:space="preserve">车载短波电台天馈系统（天线）</w:t>
            </w:r>
            <w:r/>
          </w:p>
        </w:tc>
        <w:tc>
          <w:tcPr>
            <w:tcW w:w="4536" w:type="dxa"/>
            <w:textDirection w:val="lrTb"/>
            <w:noWrap w:val="false"/>
          </w:tcPr>
          <w:p>
            <w:pPr>
              <w:spacing w:before="62" w:after="62"/>
              <w:rPr>
                <w:rFonts w:hint="eastAsia" w:ascii="宋体" w:hAnsi="宋体" w:eastAsia="宋体"/>
                <w:szCs w:val="21"/>
              </w:rPr>
            </w:pPr>
            <w:r>
              <w:rPr>
                <w:rFonts w:ascii="宋体" w:hAnsi="宋体" w:eastAsia="宋体"/>
                <w:szCs w:val="21"/>
              </w:rPr>
              <w:t xml:space="preserve">1.频率范围：1.8～30MHz；</w:t>
            </w:r>
            <w:r/>
          </w:p>
          <w:p>
            <w:pPr>
              <w:spacing w:before="62" w:after="62"/>
              <w:rPr>
                <w:rFonts w:hint="eastAsia" w:ascii="宋体" w:hAnsi="宋体" w:eastAsia="宋体"/>
                <w:szCs w:val="21"/>
              </w:rPr>
            </w:pPr>
            <w:r>
              <w:rPr>
                <w:rFonts w:ascii="宋体" w:hAnsi="宋体" w:eastAsia="宋体"/>
                <w:szCs w:val="21"/>
              </w:rPr>
              <w:t xml:space="preserve">2.功率容限：150W（PEP）；</w:t>
            </w:r>
            <w:r/>
          </w:p>
          <w:p>
            <w:pPr>
              <w:spacing w:before="62" w:after="62"/>
              <w:rPr>
                <w:rFonts w:hint="eastAsia" w:ascii="宋体" w:hAnsi="宋体" w:eastAsia="宋体"/>
                <w:szCs w:val="21"/>
              </w:rPr>
            </w:pPr>
            <w:r>
              <w:rPr>
                <w:rFonts w:ascii="宋体" w:hAnsi="宋体" w:eastAsia="宋体"/>
                <w:szCs w:val="21"/>
              </w:rPr>
              <w:t xml:space="preserve">3.天线环路电阻（即天调输出端到天调接地端电阻）：≤100mΩ；</w:t>
            </w:r>
            <w:r/>
          </w:p>
          <w:p>
            <w:pPr>
              <w:spacing w:before="62" w:after="62"/>
              <w:rPr>
                <w:rFonts w:hint="eastAsia" w:ascii="宋体" w:hAnsi="宋体" w:eastAsia="宋体"/>
                <w:szCs w:val="21"/>
              </w:rPr>
            </w:pPr>
            <w:r>
              <w:rPr>
                <w:rFonts w:ascii="宋体" w:hAnsi="宋体" w:eastAsia="宋体"/>
                <w:szCs w:val="21"/>
              </w:rPr>
              <w:t xml:space="preserve">4.天线绝缘电阻：≥500MΩ；</w:t>
            </w:r>
            <w:r/>
          </w:p>
          <w:p>
            <w:pPr>
              <w:spacing w:before="62" w:after="62"/>
              <w:rPr>
                <w:rFonts w:hint="eastAsia" w:ascii="宋体" w:hAnsi="宋体" w:eastAsia="宋体"/>
                <w:szCs w:val="21"/>
              </w:rPr>
            </w:pPr>
            <w:r>
              <w:rPr>
                <w:rFonts w:ascii="宋体" w:hAnsi="宋体" w:eastAsia="宋体"/>
                <w:szCs w:val="21"/>
              </w:rPr>
              <w:t xml:space="preserve">5.天线长度：≥4m；</w:t>
            </w:r>
            <w:r/>
          </w:p>
          <w:p>
            <w:pPr>
              <w:spacing w:before="62" w:after="62"/>
              <w:rPr>
                <w:rFonts w:hint="eastAsia" w:ascii="宋体" w:hAnsi="宋体" w:eastAsia="宋体"/>
                <w:szCs w:val="21"/>
              </w:rPr>
            </w:pPr>
            <w:r>
              <w:rPr>
                <w:rFonts w:ascii="宋体" w:hAnsi="宋体" w:eastAsia="宋体"/>
                <w:szCs w:val="21"/>
              </w:rPr>
              <w:t xml:space="preserve">6.工作温度：-40℃～+55℃；</w:t>
            </w:r>
            <w:r/>
          </w:p>
          <w:p>
            <w:pPr>
              <w:spacing w:before="62" w:after="62"/>
              <w:rPr>
                <w:rFonts w:hint="eastAsia" w:ascii="宋体" w:hAnsi="宋体" w:eastAsia="宋体"/>
                <w:szCs w:val="21"/>
              </w:rPr>
            </w:pPr>
            <w:r>
              <w:rPr>
                <w:rFonts w:ascii="宋体" w:hAnsi="宋体" w:eastAsia="宋体"/>
                <w:szCs w:val="21"/>
              </w:rPr>
              <w:t xml:space="preserve">7.电磁辐射方向：进垂直入射，可实现车载电台动中通、盲区通、山区通。</w:t>
            </w:r>
            <w:r/>
          </w:p>
        </w:tc>
        <w:tc>
          <w:tcPr>
            <w:tcW w:w="709" w:type="dxa"/>
            <w:textDirection w:val="lrTb"/>
            <w:noWrap w:val="false"/>
          </w:tcPr>
          <w:p>
            <w:pPr>
              <w:jc w:val="center"/>
              <w:spacing w:before="62" w:after="62"/>
              <w:rPr>
                <w:rFonts w:hint="eastAsia" w:ascii="宋体" w:hAnsi="宋体" w:eastAsia="宋体"/>
                <w:szCs w:val="21"/>
              </w:rPr>
            </w:pPr>
            <w:r>
              <w:rPr>
                <w:rFonts w:hint="eastAsia" w:ascii="宋体" w:hAnsi="宋体" w:eastAsia="宋体"/>
                <w:szCs w:val="21"/>
              </w:rPr>
              <w:t xml:space="preserve">1</w:t>
            </w:r>
            <w:r/>
          </w:p>
        </w:tc>
        <w:tc>
          <w:tcPr>
            <w:tcW w:w="1071" w:type="dxa"/>
            <w:textDirection w:val="lrTb"/>
            <w:noWrap w:val="false"/>
          </w:tcPr>
          <w:p>
            <w:pPr>
              <w:jc w:val="center"/>
              <w:spacing w:before="62" w:after="62"/>
              <w:rPr>
                <w:rFonts w:hint="eastAsia" w:ascii="宋体" w:hAnsi="宋体" w:eastAsia="宋体"/>
                <w:szCs w:val="21"/>
              </w:rPr>
            </w:pPr>
            <w:r>
              <w:rPr>
                <w:rFonts w:hint="eastAsia" w:ascii="宋体" w:hAnsi="宋体" w:eastAsia="宋体"/>
                <w:szCs w:val="21"/>
              </w:rPr>
            </w:r>
            <w:r/>
          </w:p>
        </w:tc>
      </w:tr>
      <w:tr>
        <w:trPr>
          <w:jc w:val="center"/>
          <w:trHeight w:val="642"/>
        </w:trPr>
        <w:tc>
          <w:tcPr>
            <w:tcW w:w="704" w:type="dxa"/>
            <w:textDirection w:val="lrTb"/>
            <w:noWrap w:val="false"/>
          </w:tcPr>
          <w:p>
            <w:pPr>
              <w:jc w:val="center"/>
              <w:spacing w:before="62" w:after="62"/>
              <w:rPr>
                <w:rFonts w:hint="eastAsia" w:ascii="宋体" w:hAnsi="宋体" w:eastAsia="宋体"/>
                <w:szCs w:val="21"/>
              </w:rPr>
            </w:pPr>
            <w:r>
              <w:rPr>
                <w:rFonts w:hint="eastAsia" w:ascii="宋体" w:hAnsi="宋体" w:eastAsia="宋体"/>
                <w:szCs w:val="21"/>
              </w:rPr>
              <w:t xml:space="preserve">4</w:t>
            </w:r>
            <w:r/>
          </w:p>
        </w:tc>
        <w:tc>
          <w:tcPr>
            <w:tcW w:w="1276" w:type="dxa"/>
            <w:textDirection w:val="lrTb"/>
            <w:noWrap w:val="false"/>
          </w:tcPr>
          <w:p>
            <w:pPr>
              <w:spacing w:before="62" w:after="62"/>
              <w:rPr>
                <w:rFonts w:hint="eastAsia" w:ascii="宋体" w:hAnsi="宋体" w:eastAsia="宋体"/>
                <w:szCs w:val="21"/>
              </w:rPr>
            </w:pPr>
            <w:r>
              <w:rPr>
                <w:rFonts w:hint="eastAsia" w:ascii="宋体" w:hAnsi="宋体" w:eastAsia="宋体"/>
                <w:szCs w:val="21"/>
              </w:rPr>
              <w:t xml:space="preserve">电动倒伏机构</w:t>
            </w:r>
            <w:r/>
          </w:p>
        </w:tc>
        <w:tc>
          <w:tcPr>
            <w:tcW w:w="4536" w:type="dxa"/>
            <w:textDirection w:val="lrTb"/>
            <w:noWrap w:val="false"/>
          </w:tcPr>
          <w:p>
            <w:pPr>
              <w:jc w:val="left"/>
              <w:spacing w:before="62" w:after="62"/>
              <w:rPr>
                <w:rFonts w:hint="eastAsia" w:ascii="宋体" w:hAnsi="宋体" w:eastAsia="宋体"/>
                <w:szCs w:val="21"/>
              </w:rPr>
            </w:pPr>
            <w:r>
              <w:rPr>
                <w:rFonts w:hint="eastAsia" w:ascii="宋体" w:hAnsi="宋体" w:eastAsia="宋体"/>
                <w:szCs w:val="21"/>
              </w:rPr>
              <w:t xml:space="preserve">电动倒伏机构用于控制半环天线的倒伏，具有操作方便，使天线能快速倒伏和竖立，提高通信效率等特点。由控制器、倒伏器、电源电缆、控制电缆及传动组件组成。根据需要通过控制器自动转换半环天线倒伏竖直状态，使天线倒伏通过涵洞、树林、立交桥等障碍物，保护通信天线不损坏。主要技术性能：</w:t>
            </w:r>
            <w:r/>
          </w:p>
          <w:p>
            <w:pPr>
              <w:jc w:val="left"/>
              <w:spacing w:before="62" w:after="62"/>
              <w:rPr>
                <w:rFonts w:hint="eastAsia" w:ascii="宋体" w:hAnsi="宋体" w:eastAsia="宋体"/>
                <w:szCs w:val="21"/>
              </w:rPr>
            </w:pPr>
            <w:r>
              <w:rPr>
                <w:rFonts w:hint="eastAsia" w:ascii="宋体" w:hAnsi="宋体" w:eastAsia="宋体"/>
                <w:szCs w:val="21"/>
              </w:rPr>
              <w:t xml:space="preserve">1.额定工作电压：</w:t>
            </w:r>
            <w:r>
              <w:rPr>
                <w:rFonts w:ascii="宋体" w:hAnsi="宋体" w:eastAsia="宋体"/>
                <w:szCs w:val="21"/>
              </w:rPr>
              <w:t xml:space="preserve">DC24V</w:t>
            </w:r>
            <w:r>
              <w:rPr>
                <w:rFonts w:hint="eastAsia" w:ascii="宋体" w:hAnsi="宋体" w:eastAsia="宋体"/>
                <w:szCs w:val="21"/>
              </w:rPr>
              <w:t xml:space="preserve">；</w:t>
            </w:r>
            <w:r/>
          </w:p>
          <w:p>
            <w:pPr>
              <w:jc w:val="left"/>
              <w:spacing w:before="62" w:after="62"/>
              <w:rPr>
                <w:rFonts w:hint="eastAsia" w:ascii="宋体" w:hAnsi="宋体" w:eastAsia="宋体"/>
                <w:szCs w:val="21"/>
              </w:rPr>
            </w:pPr>
            <w:r>
              <w:rPr>
                <w:rFonts w:hint="eastAsia" w:ascii="宋体" w:hAnsi="宋体" w:eastAsia="宋体"/>
                <w:szCs w:val="21"/>
              </w:rPr>
              <w:t xml:space="preserve">2.电压变化范围：</w:t>
            </w:r>
            <w:r>
              <w:rPr>
                <w:rFonts w:ascii="宋体" w:hAnsi="宋体" w:eastAsia="宋体"/>
                <w:szCs w:val="21"/>
              </w:rPr>
              <w:t xml:space="preserve">DC20V-33V</w:t>
            </w:r>
            <w:r>
              <w:rPr>
                <w:rFonts w:hint="eastAsia" w:ascii="宋体" w:hAnsi="宋体" w:eastAsia="宋体"/>
                <w:szCs w:val="21"/>
              </w:rPr>
              <w:t xml:space="preserve">；</w:t>
            </w:r>
            <w:r/>
          </w:p>
          <w:p>
            <w:pPr>
              <w:jc w:val="left"/>
              <w:spacing w:before="62" w:after="62"/>
              <w:rPr>
                <w:rFonts w:hint="eastAsia" w:ascii="宋体" w:hAnsi="宋体" w:eastAsia="宋体"/>
                <w:szCs w:val="21"/>
              </w:rPr>
            </w:pPr>
            <w:r>
              <w:rPr>
                <w:rFonts w:hint="eastAsia" w:ascii="宋体" w:hAnsi="宋体" w:eastAsia="宋体"/>
                <w:szCs w:val="21"/>
              </w:rPr>
              <w:t xml:space="preserve">3.外形尺寸：</w:t>
            </w:r>
            <w:r>
              <w:rPr>
                <w:rFonts w:ascii="宋体" w:hAnsi="宋体" w:eastAsia="宋体"/>
                <w:szCs w:val="21"/>
              </w:rPr>
              <w:t xml:space="preserve">2580mmx242mmx150mm</w:t>
            </w:r>
            <w:r>
              <w:rPr>
                <w:rFonts w:hint="eastAsia" w:ascii="宋体" w:hAnsi="宋体" w:eastAsia="宋体"/>
                <w:szCs w:val="21"/>
              </w:rPr>
              <w:t xml:space="preserve">；</w:t>
            </w:r>
            <w:r/>
          </w:p>
          <w:p>
            <w:pPr>
              <w:jc w:val="left"/>
              <w:spacing w:before="62" w:after="62"/>
              <w:rPr>
                <w:rFonts w:hint="eastAsia" w:ascii="宋体" w:hAnsi="宋体" w:eastAsia="宋体"/>
                <w:szCs w:val="21"/>
              </w:rPr>
            </w:pPr>
            <w:r>
              <w:rPr>
                <w:rFonts w:hint="eastAsia" w:ascii="宋体" w:hAnsi="宋体" w:eastAsia="宋体"/>
                <w:szCs w:val="21"/>
              </w:rPr>
              <w:t xml:space="preserve">4.</w:t>
            </w:r>
            <w:r>
              <w:rPr>
                <w:rFonts w:ascii="宋体" w:hAnsi="宋体" w:eastAsia="宋体"/>
                <w:szCs w:val="21"/>
              </w:rPr>
              <w:t xml:space="preserve">重量</w:t>
            </w:r>
            <w:r>
              <w:rPr>
                <w:rFonts w:hint="eastAsia" w:ascii="宋体" w:hAnsi="宋体" w:eastAsia="宋体"/>
                <w:szCs w:val="21"/>
              </w:rPr>
              <w:t xml:space="preserve">：</w:t>
            </w:r>
            <w:r>
              <w:rPr>
                <w:rFonts w:ascii="宋体" w:hAnsi="宋体" w:eastAsia="宋体"/>
                <w:szCs w:val="21"/>
              </w:rPr>
              <w:t xml:space="preserve">≤15kg</w:t>
            </w:r>
            <w:r>
              <w:rPr>
                <w:rFonts w:hint="eastAsia" w:ascii="宋体" w:hAnsi="宋体" w:eastAsia="宋体"/>
                <w:szCs w:val="21"/>
              </w:rPr>
              <w:t xml:space="preserve">；</w:t>
            </w:r>
            <w:r/>
          </w:p>
          <w:p>
            <w:pPr>
              <w:jc w:val="left"/>
              <w:spacing w:before="62" w:after="62"/>
              <w:rPr>
                <w:rFonts w:hint="eastAsia" w:ascii="宋体" w:hAnsi="宋体" w:eastAsia="宋体"/>
                <w:szCs w:val="21"/>
              </w:rPr>
            </w:pPr>
            <w:r>
              <w:rPr>
                <w:rFonts w:hint="eastAsia" w:ascii="宋体" w:hAnsi="宋体" w:eastAsia="宋体"/>
                <w:szCs w:val="21"/>
              </w:rPr>
              <w:t xml:space="preserve">5.</w:t>
            </w:r>
            <w:r>
              <w:rPr>
                <w:rFonts w:ascii="宋体" w:hAnsi="宋体" w:eastAsia="宋体"/>
                <w:szCs w:val="21"/>
              </w:rPr>
              <w:t xml:space="preserve">相对湿度</w:t>
            </w:r>
            <w:r>
              <w:rPr>
                <w:rFonts w:hint="eastAsia" w:ascii="宋体" w:hAnsi="宋体" w:eastAsia="宋体"/>
                <w:szCs w:val="21"/>
              </w:rPr>
              <w:t xml:space="preserve">：</w:t>
            </w:r>
            <w:r>
              <w:rPr>
                <w:rFonts w:ascii="宋体" w:hAnsi="宋体" w:eastAsia="宋体"/>
                <w:szCs w:val="21"/>
              </w:rPr>
              <w:t xml:space="preserve">95%</w:t>
            </w:r>
            <w:r>
              <w:rPr>
                <w:rFonts w:hint="eastAsia" w:ascii="宋体" w:hAnsi="宋体" w:eastAsia="宋体"/>
                <w:szCs w:val="21"/>
              </w:rPr>
              <w:t xml:space="preserve">；</w:t>
            </w:r>
            <w:r/>
          </w:p>
          <w:p>
            <w:pPr>
              <w:jc w:val="left"/>
              <w:spacing w:before="62" w:after="62"/>
              <w:rPr>
                <w:rFonts w:hint="eastAsia" w:ascii="宋体" w:hAnsi="宋体" w:eastAsia="宋体"/>
                <w:szCs w:val="21"/>
              </w:rPr>
            </w:pPr>
            <w:r>
              <w:rPr>
                <w:rFonts w:hint="eastAsia" w:ascii="宋体" w:hAnsi="宋体" w:eastAsia="宋体"/>
                <w:szCs w:val="21"/>
              </w:rPr>
              <w:t xml:space="preserve">6.工作温度</w:t>
            </w:r>
            <w:r>
              <w:rPr>
                <w:rFonts w:ascii="宋体" w:hAnsi="宋体" w:eastAsia="宋体"/>
                <w:szCs w:val="21"/>
              </w:rPr>
              <w:t xml:space="preserve">:-40℃～+55℃</w:t>
            </w:r>
            <w:r>
              <w:rPr>
                <w:rFonts w:hint="eastAsia" w:ascii="宋体" w:hAnsi="宋体" w:eastAsia="宋体"/>
                <w:szCs w:val="21"/>
              </w:rPr>
              <w:t xml:space="preserve">；</w:t>
            </w:r>
            <w:r/>
          </w:p>
          <w:p>
            <w:pPr>
              <w:jc w:val="left"/>
              <w:spacing w:before="62" w:after="62"/>
              <w:rPr>
                <w:rFonts w:hint="eastAsia" w:ascii="宋体" w:hAnsi="宋体" w:eastAsia="宋体"/>
                <w:szCs w:val="21"/>
              </w:rPr>
            </w:pPr>
            <w:r>
              <w:rPr>
                <w:rFonts w:hint="eastAsia" w:ascii="宋体" w:hAnsi="宋体" w:eastAsia="宋体"/>
                <w:szCs w:val="21"/>
              </w:rPr>
              <w:t xml:space="preserve">7.</w:t>
            </w:r>
            <w:r>
              <w:rPr>
                <w:rFonts w:ascii="宋体" w:hAnsi="宋体" w:eastAsia="宋体"/>
                <w:szCs w:val="21"/>
              </w:rPr>
              <w:t xml:space="preserve">储存温度</w:t>
            </w:r>
            <w:r>
              <w:rPr>
                <w:rFonts w:hint="eastAsia" w:ascii="宋体" w:hAnsi="宋体" w:eastAsia="宋体"/>
                <w:szCs w:val="21"/>
              </w:rPr>
              <w:t xml:space="preserve">：</w:t>
            </w:r>
            <w:r>
              <w:rPr>
                <w:rFonts w:ascii="宋体" w:hAnsi="宋体" w:eastAsia="宋体"/>
                <w:szCs w:val="21"/>
              </w:rPr>
              <w:t xml:space="preserve">-50℃～+70℃</w:t>
            </w:r>
            <w:r>
              <w:rPr>
                <w:rFonts w:hint="eastAsia" w:ascii="宋体" w:hAnsi="宋体" w:eastAsia="宋体"/>
                <w:szCs w:val="21"/>
              </w:rPr>
              <w:t xml:space="preserve">；</w:t>
            </w:r>
            <w:r/>
          </w:p>
          <w:p>
            <w:pPr>
              <w:jc w:val="left"/>
              <w:spacing w:before="62" w:after="62"/>
              <w:rPr>
                <w:rFonts w:hint="eastAsia" w:ascii="宋体" w:hAnsi="宋体" w:eastAsia="宋体"/>
                <w:szCs w:val="21"/>
              </w:rPr>
            </w:pPr>
            <w:r>
              <w:rPr>
                <w:rFonts w:hint="eastAsia" w:ascii="宋体" w:hAnsi="宋体" w:eastAsia="宋体"/>
                <w:szCs w:val="21"/>
              </w:rPr>
              <w:t xml:space="preserve">8.</w:t>
            </w:r>
            <w:r>
              <w:rPr>
                <w:rFonts w:ascii="宋体" w:hAnsi="宋体" w:eastAsia="宋体"/>
                <w:szCs w:val="21"/>
              </w:rPr>
              <w:t xml:space="preserve">竖直或倒伏转换时间</w:t>
            </w:r>
            <w:r>
              <w:rPr>
                <w:rFonts w:hint="eastAsia" w:ascii="宋体" w:hAnsi="宋体" w:eastAsia="宋体"/>
                <w:szCs w:val="21"/>
              </w:rPr>
              <w:t xml:space="preserve">：</w:t>
            </w:r>
            <w:r>
              <w:rPr>
                <w:rFonts w:ascii="宋体" w:hAnsi="宋体" w:eastAsia="宋体"/>
                <w:szCs w:val="21"/>
              </w:rPr>
              <w:t xml:space="preserve">≤20s(DC24V负荷)</w:t>
            </w:r>
            <w:r>
              <w:rPr>
                <w:rFonts w:hint="eastAsia" w:ascii="宋体" w:hAnsi="宋体" w:eastAsia="宋体"/>
                <w:szCs w:val="21"/>
              </w:rPr>
              <w:t xml:space="preserve">；</w:t>
            </w:r>
            <w:r/>
          </w:p>
          <w:p>
            <w:pPr>
              <w:jc w:val="left"/>
              <w:spacing w:before="62" w:after="62"/>
              <w:rPr>
                <w:rFonts w:hint="eastAsia" w:ascii="宋体" w:hAnsi="宋体" w:eastAsia="宋体"/>
                <w:szCs w:val="21"/>
              </w:rPr>
            </w:pPr>
            <w:r>
              <w:rPr>
                <w:rFonts w:hint="eastAsia" w:ascii="宋体" w:hAnsi="宋体" w:eastAsia="宋体"/>
                <w:szCs w:val="21"/>
              </w:rPr>
              <w:t xml:space="preserve">9.</w:t>
            </w:r>
            <w:r>
              <w:rPr>
                <w:rFonts w:ascii="宋体" w:hAnsi="宋体" w:eastAsia="宋体"/>
                <w:szCs w:val="21"/>
              </w:rPr>
              <w:t xml:space="preserve">扭矩:≥55N·m</w:t>
            </w:r>
            <w:r>
              <w:rPr>
                <w:rFonts w:hint="eastAsia" w:ascii="宋体" w:hAnsi="宋体" w:eastAsia="宋体"/>
                <w:szCs w:val="21"/>
              </w:rPr>
              <w:t xml:space="preserve">；</w:t>
            </w:r>
            <w:r/>
          </w:p>
          <w:p>
            <w:pPr>
              <w:jc w:val="left"/>
              <w:spacing w:before="62" w:after="62"/>
              <w:rPr>
                <w:rFonts w:hint="eastAsia" w:ascii="宋体" w:hAnsi="宋体" w:eastAsia="宋体"/>
                <w:szCs w:val="21"/>
              </w:rPr>
            </w:pPr>
            <w:r>
              <w:rPr>
                <w:rFonts w:hint="eastAsia" w:ascii="宋体" w:hAnsi="宋体" w:eastAsia="宋体"/>
                <w:szCs w:val="21"/>
              </w:rPr>
              <w:t xml:space="preserve">10.</w:t>
            </w:r>
            <w:r>
              <w:rPr>
                <w:rFonts w:ascii="宋体" w:hAnsi="宋体" w:eastAsia="宋体"/>
                <w:szCs w:val="21"/>
              </w:rPr>
              <w:t xml:space="preserve">最大工作电流</w:t>
            </w:r>
            <w:r>
              <w:rPr>
                <w:rFonts w:hint="eastAsia" w:ascii="宋体" w:hAnsi="宋体" w:eastAsia="宋体"/>
                <w:szCs w:val="21"/>
              </w:rPr>
              <w:t xml:space="preserve">：</w:t>
            </w:r>
            <w:r>
              <w:rPr>
                <w:rFonts w:ascii="宋体" w:hAnsi="宋体" w:eastAsia="宋体"/>
                <w:szCs w:val="21"/>
              </w:rPr>
              <w:t xml:space="preserve">≤3A</w:t>
            </w:r>
            <w:r>
              <w:rPr>
                <w:rFonts w:hint="eastAsia" w:ascii="宋体" w:hAnsi="宋体" w:eastAsia="宋体"/>
                <w:szCs w:val="21"/>
              </w:rPr>
              <w:t xml:space="preserve">；</w:t>
            </w:r>
            <w:r/>
          </w:p>
          <w:p>
            <w:pPr>
              <w:jc w:val="left"/>
              <w:spacing w:before="62" w:after="62"/>
              <w:rPr>
                <w:rFonts w:hint="eastAsia" w:ascii="宋体" w:hAnsi="宋体" w:eastAsia="宋体"/>
                <w:szCs w:val="21"/>
              </w:rPr>
            </w:pPr>
            <w:r>
              <w:rPr>
                <w:rFonts w:hint="eastAsia" w:ascii="宋体" w:hAnsi="宋体" w:eastAsia="宋体"/>
                <w:szCs w:val="21"/>
              </w:rPr>
              <w:t xml:space="preserve">11.竖直角度：</w:t>
            </w:r>
            <w:r>
              <w:rPr>
                <w:rFonts w:ascii="宋体" w:hAnsi="宋体" w:eastAsia="宋体"/>
                <w:szCs w:val="21"/>
              </w:rPr>
              <w:t xml:space="preserve">90°±3°(参照水平面)</w:t>
            </w:r>
            <w:r>
              <w:rPr>
                <w:rFonts w:hint="eastAsia" w:ascii="宋体" w:hAnsi="宋体" w:eastAsia="宋体"/>
                <w:szCs w:val="21"/>
              </w:rPr>
              <w:t xml:space="preserve">；</w:t>
            </w:r>
            <w:r/>
          </w:p>
          <w:p>
            <w:pPr>
              <w:jc w:val="left"/>
              <w:spacing w:before="62" w:after="62"/>
              <w:rPr>
                <w:rFonts w:hint="eastAsia" w:ascii="宋体" w:hAnsi="宋体" w:eastAsia="宋体"/>
                <w:szCs w:val="21"/>
              </w:rPr>
            </w:pPr>
            <w:r>
              <w:rPr>
                <w:rFonts w:hint="eastAsia" w:ascii="宋体" w:hAnsi="宋体" w:eastAsia="宋体"/>
                <w:szCs w:val="21"/>
              </w:rPr>
              <w:t xml:space="preserve">12.</w:t>
            </w:r>
            <w:r>
              <w:rPr>
                <w:rFonts w:ascii="宋体" w:hAnsi="宋体" w:eastAsia="宋体"/>
                <w:szCs w:val="21"/>
              </w:rPr>
              <w:t xml:space="preserve">倒伏角度:0°±3°(参照水平面)</w:t>
            </w:r>
            <w:r>
              <w:rPr>
                <w:rFonts w:hint="eastAsia" w:ascii="宋体" w:hAnsi="宋体" w:eastAsia="宋体"/>
                <w:szCs w:val="21"/>
              </w:rPr>
              <w:t xml:space="preserve">；</w:t>
            </w:r>
            <w:r/>
          </w:p>
          <w:p>
            <w:pPr>
              <w:spacing w:before="62" w:after="62"/>
              <w:rPr>
                <w:rFonts w:hint="eastAsia" w:ascii="宋体" w:hAnsi="宋体" w:eastAsia="宋体"/>
                <w:szCs w:val="21"/>
              </w:rPr>
            </w:pPr>
            <w:r>
              <w:rPr>
                <w:rFonts w:hint="eastAsia" w:ascii="宋体" w:hAnsi="宋体" w:eastAsia="宋体"/>
                <w:szCs w:val="21"/>
              </w:rPr>
              <w:t xml:space="preserve">13.环境条件：</w:t>
            </w:r>
            <w:r>
              <w:rPr>
                <w:rFonts w:ascii="宋体" w:hAnsi="宋体" w:eastAsia="宋体"/>
                <w:szCs w:val="21"/>
              </w:rPr>
              <w:t xml:space="preserve">符合GJB150A-2009中有关要求</w:t>
            </w:r>
            <w:r>
              <w:rPr>
                <w:rFonts w:hint="eastAsia" w:ascii="宋体" w:hAnsi="宋体" w:eastAsia="宋体"/>
                <w:szCs w:val="21"/>
              </w:rPr>
              <w:t xml:space="preserve">。</w:t>
            </w:r>
            <w:r/>
          </w:p>
        </w:tc>
        <w:tc>
          <w:tcPr>
            <w:tcW w:w="709" w:type="dxa"/>
            <w:textDirection w:val="lrTb"/>
            <w:noWrap w:val="false"/>
          </w:tcPr>
          <w:p>
            <w:pPr>
              <w:jc w:val="center"/>
              <w:spacing w:before="62" w:after="62"/>
              <w:rPr>
                <w:rFonts w:hint="eastAsia" w:ascii="宋体" w:hAnsi="宋体" w:eastAsia="宋体"/>
                <w:szCs w:val="21"/>
              </w:rPr>
            </w:pPr>
            <w:r>
              <w:rPr>
                <w:rFonts w:hint="eastAsia" w:ascii="宋体" w:hAnsi="宋体" w:eastAsia="宋体"/>
                <w:szCs w:val="21"/>
              </w:rPr>
              <w:t xml:space="preserve">1</w:t>
            </w:r>
            <w:r/>
          </w:p>
        </w:tc>
        <w:tc>
          <w:tcPr>
            <w:tcW w:w="1071" w:type="dxa"/>
            <w:textDirection w:val="lrTb"/>
            <w:noWrap w:val="false"/>
          </w:tcPr>
          <w:p>
            <w:pPr>
              <w:jc w:val="center"/>
              <w:spacing w:before="62" w:after="62"/>
              <w:rPr>
                <w:rFonts w:hint="eastAsia" w:ascii="宋体" w:hAnsi="宋体" w:eastAsia="宋体"/>
                <w:szCs w:val="21"/>
              </w:rPr>
            </w:pPr>
            <w:r>
              <w:rPr>
                <w:rFonts w:hint="eastAsia" w:ascii="宋体" w:hAnsi="宋体" w:eastAsia="宋体"/>
                <w:szCs w:val="21"/>
              </w:rPr>
            </w:r>
            <w:r/>
          </w:p>
        </w:tc>
      </w:tr>
      <w:tr>
        <w:trPr>
          <w:jc w:val="center"/>
          <w:trHeight w:val="1986"/>
        </w:trPr>
        <w:tc>
          <w:tcPr>
            <w:tcW w:w="704" w:type="dxa"/>
            <w:textDirection w:val="lrTb"/>
            <w:noWrap w:val="false"/>
          </w:tcPr>
          <w:p>
            <w:pPr>
              <w:jc w:val="center"/>
              <w:spacing w:before="62" w:after="62"/>
              <w:rPr>
                <w:rFonts w:hint="eastAsia" w:ascii="宋体" w:hAnsi="宋体" w:eastAsia="宋体"/>
                <w:szCs w:val="21"/>
              </w:rPr>
            </w:pPr>
            <w:r>
              <w:rPr>
                <w:rFonts w:hint="eastAsia" w:ascii="宋体" w:hAnsi="宋体" w:eastAsia="宋体"/>
                <w:szCs w:val="21"/>
              </w:rPr>
              <w:t xml:space="preserve">5</w:t>
            </w:r>
            <w:r/>
          </w:p>
        </w:tc>
        <w:tc>
          <w:tcPr>
            <w:tcW w:w="1276" w:type="dxa"/>
            <w:textDirection w:val="lrTb"/>
            <w:noWrap w:val="false"/>
          </w:tcPr>
          <w:p>
            <w:pPr>
              <w:spacing w:before="62" w:after="62"/>
              <w:rPr>
                <w:rFonts w:hint="eastAsia" w:ascii="宋体" w:hAnsi="宋体" w:eastAsia="宋体"/>
                <w:szCs w:val="21"/>
              </w:rPr>
            </w:pPr>
            <w:r>
              <w:rPr>
                <w:rFonts w:hint="eastAsia" w:ascii="宋体" w:hAnsi="宋体" w:eastAsia="宋体"/>
                <w:szCs w:val="21"/>
              </w:rPr>
              <w:t xml:space="preserve">车载直流稳压电源</w:t>
            </w:r>
            <w:r/>
          </w:p>
        </w:tc>
        <w:tc>
          <w:tcPr>
            <w:tcW w:w="4536" w:type="dxa"/>
            <w:textDirection w:val="lrTb"/>
            <w:noWrap w:val="false"/>
          </w:tcPr>
          <w:p>
            <w:pPr>
              <w:spacing w:before="62" w:after="62"/>
              <w:rPr>
                <w:rFonts w:hint="eastAsia" w:ascii="宋体" w:hAnsi="宋体" w:eastAsia="宋体"/>
              </w:rPr>
            </w:pPr>
            <w:r>
              <w:rPr>
                <w:rFonts w:hint="eastAsia" w:ascii="宋体" w:hAnsi="宋体" w:eastAsia="宋体"/>
              </w:rPr>
              <w:t xml:space="preserve">1.输入电压：AC220V土10%、频率：50Hz；</w:t>
            </w:r>
            <w:r/>
          </w:p>
          <w:p>
            <w:pPr>
              <w:spacing w:before="62" w:after="62"/>
              <w:rPr>
                <w:rFonts w:hint="eastAsia" w:ascii="宋体" w:hAnsi="宋体" w:eastAsia="宋体"/>
              </w:rPr>
            </w:pPr>
            <w:r>
              <w:rPr>
                <w:rFonts w:hint="eastAsia" w:ascii="宋体" w:hAnsi="宋体" w:eastAsia="宋体"/>
              </w:rPr>
              <w:t xml:space="preserve">2.输出特性：直流24V/30A；</w:t>
            </w:r>
            <w:r/>
          </w:p>
          <w:p>
            <w:pPr>
              <w:spacing w:before="62" w:after="62"/>
              <w:rPr>
                <w:rFonts w:hint="eastAsia" w:ascii="宋体" w:hAnsi="宋体" w:eastAsia="宋体"/>
              </w:rPr>
            </w:pPr>
            <w:r>
              <w:rPr>
                <w:rFonts w:hint="eastAsia" w:ascii="宋体" w:hAnsi="宋体" w:eastAsia="宋体"/>
              </w:rPr>
              <w:t xml:space="preserve">3.源效应：电压≤：O.01%+5mV   电流≤：O.2%+3mA；</w:t>
            </w:r>
            <w:r/>
          </w:p>
          <w:p>
            <w:pPr>
              <w:spacing w:before="62" w:after="62"/>
              <w:rPr>
                <w:rFonts w:hint="eastAsia" w:ascii="宋体" w:hAnsi="宋体" w:eastAsia="宋体"/>
              </w:rPr>
            </w:pPr>
            <w:r>
              <w:rPr>
                <w:rFonts w:hint="eastAsia" w:ascii="宋体" w:hAnsi="宋体" w:eastAsia="宋体"/>
              </w:rPr>
              <w:t xml:space="preserve">4.负载效应：电压≤：O.1%+5mV  电流≤：O.2%+3mA；</w:t>
            </w:r>
            <w:r/>
          </w:p>
          <w:p>
            <w:pPr>
              <w:spacing w:before="62" w:after="62"/>
              <w:rPr>
                <w:rFonts w:hint="eastAsia" w:ascii="宋体" w:hAnsi="宋体" w:eastAsia="宋体"/>
              </w:rPr>
            </w:pPr>
            <w:r>
              <w:rPr>
                <w:rFonts w:hint="eastAsia" w:ascii="宋体" w:hAnsi="宋体" w:eastAsia="宋体"/>
              </w:rPr>
              <w:t xml:space="preserve">5.纹波噪音：≤3mVrms（有效值）；</w:t>
            </w:r>
            <w:r/>
          </w:p>
          <w:p>
            <w:pPr>
              <w:spacing w:before="62" w:after="62"/>
              <w:rPr>
                <w:rFonts w:hint="eastAsia" w:ascii="宋体" w:hAnsi="宋体" w:eastAsia="宋体"/>
              </w:rPr>
            </w:pPr>
            <w:r>
              <w:rPr>
                <w:rFonts w:hint="eastAsia" w:ascii="宋体" w:hAnsi="宋体" w:eastAsia="宋体"/>
              </w:rPr>
              <w:t xml:space="preserve">6.显示分辨率：电压(10-99V/10mV、100-900V/100mV)；</w:t>
            </w:r>
            <w:r/>
          </w:p>
          <w:p>
            <w:pPr>
              <w:spacing w:before="62" w:after="62"/>
              <w:rPr>
                <w:rFonts w:hint="eastAsia" w:ascii="宋体" w:hAnsi="宋体" w:eastAsia="宋体"/>
              </w:rPr>
            </w:pPr>
            <w:r>
              <w:rPr>
                <w:rFonts w:hint="eastAsia" w:ascii="宋体" w:hAnsi="宋体" w:eastAsia="宋体"/>
              </w:rPr>
              <w:t xml:space="preserve">7.显示分辨率：电压(1-60A/最小1mA、80-500A/100mA)；</w:t>
            </w:r>
            <w:r/>
          </w:p>
          <w:p>
            <w:pPr>
              <w:spacing w:before="62" w:after="62"/>
              <w:rPr>
                <w:rFonts w:hint="eastAsia" w:ascii="宋体" w:hAnsi="宋体" w:eastAsia="宋体"/>
              </w:rPr>
            </w:pPr>
            <w:r>
              <w:rPr>
                <w:rFonts w:hint="eastAsia" w:ascii="宋体" w:hAnsi="宋体" w:eastAsia="宋体"/>
              </w:rPr>
              <w:t xml:space="preserve">8.回读值精度：电压0.1%+0.1%*FS电流0.1%+0.1%*FS；</w:t>
            </w:r>
            <w:r/>
          </w:p>
          <w:p>
            <w:pPr>
              <w:spacing w:before="62" w:after="62"/>
              <w:rPr>
                <w:rFonts w:hint="eastAsia" w:ascii="宋体" w:hAnsi="宋体" w:eastAsia="宋体"/>
              </w:rPr>
            </w:pPr>
            <w:r>
              <w:rPr>
                <w:rFonts w:hint="eastAsia" w:ascii="宋体" w:hAnsi="宋体" w:eastAsia="宋体"/>
              </w:rPr>
              <w:t xml:space="preserve">9.设定值精度：电压0.1%+0.1%*FS电流 0.1%+0.1%*FS；</w:t>
            </w:r>
            <w:r/>
          </w:p>
          <w:p>
            <w:pPr>
              <w:spacing w:before="62" w:after="62"/>
              <w:rPr>
                <w:rFonts w:hint="eastAsia" w:ascii="宋体" w:hAnsi="宋体" w:eastAsia="宋体"/>
              </w:rPr>
            </w:pPr>
            <w:r>
              <w:rPr>
                <w:rFonts w:hint="eastAsia" w:ascii="宋体" w:hAnsi="宋体" w:eastAsia="宋体"/>
              </w:rPr>
              <w:t xml:space="preserve">10.响应时间(10％额定负荷),≤：1-3s  海拔≤：2000m；</w:t>
            </w:r>
            <w:r/>
          </w:p>
          <w:p>
            <w:pPr>
              <w:spacing w:before="62" w:after="62"/>
              <w:rPr>
                <w:rFonts w:hint="eastAsia" w:ascii="宋体" w:hAnsi="宋体" w:eastAsia="宋体"/>
              </w:rPr>
            </w:pPr>
            <w:r>
              <w:rPr>
                <w:rFonts w:hint="eastAsia" w:ascii="宋体" w:hAnsi="宋体" w:eastAsia="宋体"/>
              </w:rPr>
              <w:t xml:space="preserve">11.工作环境温度：－0℃～45℃   相对湿度≤：80%RH；</w:t>
            </w:r>
            <w:r/>
          </w:p>
          <w:p>
            <w:pPr>
              <w:spacing w:before="62" w:after="62"/>
              <w:rPr>
                <w:rFonts w:hint="eastAsia" w:ascii="宋体" w:hAnsi="宋体" w:eastAsia="宋体"/>
              </w:rPr>
            </w:pPr>
            <w:r>
              <w:rPr>
                <w:rFonts w:hint="eastAsia" w:ascii="宋体" w:hAnsi="宋体" w:eastAsia="宋体"/>
              </w:rPr>
              <w:t xml:space="preserve">12.储存环境温度：－10℃～45℃  相对湿度≤：80%RH；</w:t>
            </w:r>
            <w:r/>
          </w:p>
          <w:p>
            <w:pPr>
              <w:spacing w:before="62" w:after="62"/>
              <w:rPr>
                <w:rFonts w:hint="eastAsia" w:ascii="宋体" w:hAnsi="宋体" w:eastAsia="宋体"/>
              </w:rPr>
            </w:pPr>
            <w:r>
              <w:rPr>
                <w:rFonts w:hint="eastAsia" w:ascii="宋体" w:hAnsi="宋体" w:eastAsia="宋体"/>
              </w:rPr>
              <w:t xml:space="preserve">13.电源具有输出过压保护、输出过流保护与短路保护；</w:t>
            </w:r>
            <w:r/>
          </w:p>
          <w:p>
            <w:pPr>
              <w:spacing w:before="62" w:after="62"/>
              <w:rPr>
                <w:rFonts w:hint="eastAsia" w:ascii="宋体" w:hAnsi="宋体" w:eastAsia="宋体"/>
                <w:szCs w:val="21"/>
              </w:rPr>
            </w:pPr>
            <w:r>
              <w:rPr>
                <w:rFonts w:hint="eastAsia" w:ascii="宋体" w:hAnsi="宋体" w:eastAsia="宋体"/>
              </w:rPr>
              <w:t xml:space="preserve">14.电源具有输出过热保护。</w:t>
            </w:r>
            <w:r/>
          </w:p>
        </w:tc>
        <w:tc>
          <w:tcPr>
            <w:tcW w:w="709" w:type="dxa"/>
            <w:textDirection w:val="lrTb"/>
            <w:noWrap w:val="false"/>
          </w:tcPr>
          <w:p>
            <w:pPr>
              <w:jc w:val="center"/>
              <w:spacing w:before="62" w:after="62"/>
              <w:rPr>
                <w:rFonts w:hint="eastAsia" w:ascii="宋体" w:hAnsi="宋体" w:eastAsia="宋体"/>
                <w:szCs w:val="21"/>
              </w:rPr>
            </w:pPr>
            <w:r>
              <w:rPr>
                <w:rFonts w:hint="eastAsia" w:ascii="宋体" w:hAnsi="宋体" w:eastAsia="宋体"/>
                <w:szCs w:val="21"/>
              </w:rPr>
              <w:t xml:space="preserve">1</w:t>
            </w:r>
            <w:r/>
          </w:p>
        </w:tc>
        <w:tc>
          <w:tcPr>
            <w:tcW w:w="1071" w:type="dxa"/>
            <w:textDirection w:val="lrTb"/>
            <w:noWrap w:val="false"/>
          </w:tcPr>
          <w:p>
            <w:pPr>
              <w:jc w:val="center"/>
              <w:spacing w:before="62" w:after="62"/>
              <w:rPr>
                <w:rFonts w:hint="eastAsia" w:ascii="宋体" w:hAnsi="宋体" w:eastAsia="宋体"/>
                <w:szCs w:val="21"/>
              </w:rPr>
            </w:pPr>
            <w:r>
              <w:rPr>
                <w:rFonts w:hint="eastAsia" w:ascii="宋体" w:hAnsi="宋体" w:eastAsia="宋体"/>
                <w:szCs w:val="21"/>
              </w:rPr>
            </w:r>
            <w:r/>
          </w:p>
        </w:tc>
      </w:tr>
      <w:tr>
        <w:trPr>
          <w:jc w:val="center"/>
          <w:trHeight w:val="646"/>
        </w:trPr>
        <w:tc>
          <w:tcPr>
            <w:tcW w:w="704" w:type="dxa"/>
            <w:textDirection w:val="lrTb"/>
            <w:noWrap w:val="false"/>
          </w:tcPr>
          <w:p>
            <w:pPr>
              <w:jc w:val="center"/>
              <w:spacing w:before="62" w:after="62"/>
              <w:rPr>
                <w:rFonts w:hint="eastAsia" w:ascii="宋体" w:hAnsi="宋体" w:eastAsia="宋体"/>
                <w:szCs w:val="21"/>
              </w:rPr>
            </w:pPr>
            <w:r>
              <w:rPr>
                <w:rFonts w:hint="eastAsia" w:ascii="宋体" w:hAnsi="宋体" w:eastAsia="宋体"/>
                <w:szCs w:val="21"/>
              </w:rPr>
              <w:t xml:space="preserve">6</w:t>
            </w:r>
            <w:r/>
          </w:p>
        </w:tc>
        <w:tc>
          <w:tcPr>
            <w:tcW w:w="1276" w:type="dxa"/>
            <w:textDirection w:val="lrTb"/>
            <w:noWrap w:val="false"/>
          </w:tcPr>
          <w:p>
            <w:pPr>
              <w:spacing w:before="62" w:after="62"/>
              <w:rPr>
                <w:rFonts w:hint="eastAsia" w:ascii="宋体" w:hAnsi="宋体" w:eastAsia="宋体"/>
                <w:szCs w:val="21"/>
              </w:rPr>
            </w:pPr>
            <w:r>
              <w:rPr>
                <w:rFonts w:hint="eastAsia" w:ascii="宋体" w:hAnsi="宋体" w:eastAsia="宋体"/>
                <w:szCs w:val="21"/>
              </w:rPr>
              <w:t xml:space="preserve">车载短波电台军用遥控终端</w:t>
            </w:r>
            <w:r/>
          </w:p>
          <w:p>
            <w:pPr>
              <w:spacing w:before="62" w:after="62"/>
              <w:rPr>
                <w:rFonts w:hint="eastAsia" w:ascii="宋体" w:hAnsi="宋体" w:eastAsia="宋体"/>
                <w:szCs w:val="21"/>
              </w:rPr>
            </w:pPr>
            <w:r>
              <w:rPr>
                <w:rFonts w:hint="eastAsia" w:ascii="宋体" w:hAnsi="宋体" w:eastAsia="宋体"/>
                <w:szCs w:val="21"/>
              </w:rPr>
            </w:r>
            <w:r/>
          </w:p>
        </w:tc>
        <w:tc>
          <w:tcPr>
            <w:tcW w:w="4536" w:type="dxa"/>
            <w:textDirection w:val="lrTb"/>
            <w:noWrap w:val="false"/>
          </w:tcPr>
          <w:p>
            <w:pPr>
              <w:spacing w:before="62" w:after="62"/>
              <w:rPr>
                <w:rFonts w:hint="eastAsia" w:ascii="宋体" w:hAnsi="宋体" w:eastAsia="宋体"/>
                <w:szCs w:val="21"/>
              </w:rPr>
            </w:pPr>
            <w:r>
              <w:rPr>
                <w:rFonts w:hint="eastAsia" w:ascii="宋体" w:hAnsi="宋体" w:eastAsia="宋体"/>
                <w:szCs w:val="21"/>
              </w:rPr>
              <w:t xml:space="preserve">电台控制终端用于车辆行进中，在乘员位上可随时控制操作位于车辆机柜内的短波电台，从而实现运动中通信。主要战术、技术要求及功能特性：</w:t>
            </w:r>
            <w:r/>
          </w:p>
          <w:p>
            <w:pPr>
              <w:spacing w:before="62" w:after="62"/>
              <w:rPr>
                <w:rFonts w:hint="eastAsia" w:ascii="宋体" w:hAnsi="宋体" w:eastAsia="宋体"/>
                <w:szCs w:val="21"/>
              </w:rPr>
            </w:pPr>
            <w:r>
              <w:rPr>
                <w:rFonts w:hint="eastAsia" w:ascii="宋体" w:hAnsi="宋体" w:eastAsia="宋体"/>
                <w:szCs w:val="21"/>
              </w:rPr>
              <w:t xml:space="preserve">1.</w:t>
            </w:r>
            <w:r>
              <w:rPr>
                <w:rFonts w:ascii="宋体" w:hAnsi="宋体" w:eastAsia="宋体"/>
                <w:szCs w:val="21"/>
              </w:rPr>
              <w:t xml:space="preserve">▲</w:t>
            </w:r>
            <w:r>
              <w:rPr>
                <w:rFonts w:hint="eastAsia" w:ascii="宋体" w:hAnsi="宋体" w:eastAsia="宋体"/>
                <w:szCs w:val="21"/>
              </w:rPr>
              <w:t xml:space="preserve">开机自检</w:t>
            </w:r>
            <w:r/>
          </w:p>
          <w:p>
            <w:pPr>
              <w:spacing w:before="62" w:after="62"/>
              <w:rPr>
                <w:rFonts w:hint="eastAsia" w:ascii="宋体" w:hAnsi="宋体" w:eastAsia="宋体"/>
                <w:szCs w:val="21"/>
              </w:rPr>
            </w:pPr>
            <w:r>
              <w:rPr>
                <w:rFonts w:hint="eastAsia" w:ascii="宋体" w:hAnsi="宋体" w:eastAsia="宋体"/>
                <w:szCs w:val="21"/>
              </w:rPr>
              <w:t xml:space="preserve">遥控终端开机时具有自检功能，检测结果有显示。</w:t>
            </w:r>
            <w:r/>
          </w:p>
          <w:p>
            <w:pPr>
              <w:spacing w:before="62" w:after="62"/>
              <w:rPr>
                <w:rFonts w:hint="eastAsia" w:ascii="宋体" w:hAnsi="宋体" w:eastAsia="宋体"/>
                <w:szCs w:val="21"/>
              </w:rPr>
            </w:pPr>
            <w:r>
              <w:rPr>
                <w:rFonts w:hint="eastAsia" w:ascii="宋体" w:hAnsi="宋体" w:eastAsia="宋体"/>
                <w:szCs w:val="21"/>
              </w:rPr>
              <w:t xml:space="preserve">2.键盘</w:t>
            </w:r>
            <w:r/>
          </w:p>
          <w:p>
            <w:pPr>
              <w:spacing w:before="62" w:after="62"/>
              <w:rPr>
                <w:rFonts w:hint="eastAsia" w:ascii="宋体" w:hAnsi="宋体" w:eastAsia="宋体"/>
                <w:szCs w:val="21"/>
              </w:rPr>
            </w:pPr>
            <w:r>
              <w:rPr>
                <w:rFonts w:hint="eastAsia" w:ascii="宋体" w:hAnsi="宋体" w:eastAsia="宋体"/>
                <w:szCs w:val="21"/>
              </w:rPr>
              <w:t xml:space="preserve">采用字母／数字键盘，并有功能键，键盘要求防水，键面印字要清晰牢固。按键力小于120g。</w:t>
            </w:r>
            <w:r/>
          </w:p>
          <w:p>
            <w:pPr>
              <w:spacing w:before="62" w:after="62"/>
              <w:rPr>
                <w:rFonts w:hint="eastAsia" w:ascii="宋体" w:hAnsi="宋体" w:eastAsia="宋体"/>
                <w:szCs w:val="21"/>
              </w:rPr>
            </w:pPr>
            <w:r>
              <w:rPr>
                <w:rFonts w:hint="eastAsia" w:ascii="宋体" w:hAnsi="宋体" w:eastAsia="宋体"/>
                <w:szCs w:val="21"/>
              </w:rPr>
              <w:t xml:space="preserve">3.显示</w:t>
            </w:r>
            <w:r/>
          </w:p>
          <w:p>
            <w:pPr>
              <w:spacing w:before="62" w:after="62"/>
              <w:rPr>
                <w:rFonts w:hint="eastAsia" w:ascii="宋体" w:hAnsi="宋体" w:eastAsia="宋体"/>
                <w:szCs w:val="21"/>
              </w:rPr>
            </w:pPr>
            <w:r>
              <w:rPr>
                <w:rFonts w:hint="eastAsia" w:ascii="宋体" w:hAnsi="宋体" w:eastAsia="宋体"/>
                <w:szCs w:val="21"/>
              </w:rPr>
              <w:t xml:space="preserve">显示器点阵数为320×240，显示字迹清晰，显示器对比度可调。</w:t>
            </w:r>
            <w:r/>
          </w:p>
          <w:p>
            <w:pPr>
              <w:spacing w:before="62" w:after="62"/>
              <w:rPr>
                <w:rFonts w:hint="eastAsia" w:ascii="宋体" w:hAnsi="宋体" w:eastAsia="宋体"/>
                <w:szCs w:val="21"/>
              </w:rPr>
            </w:pPr>
            <w:r>
              <w:rPr>
                <w:rFonts w:hint="eastAsia" w:ascii="宋体" w:hAnsi="宋体" w:eastAsia="宋体"/>
                <w:szCs w:val="21"/>
              </w:rPr>
              <w:t xml:space="preserve">4.通信功能</w:t>
            </w:r>
            <w:r/>
          </w:p>
          <w:p>
            <w:pPr>
              <w:spacing w:before="62" w:after="62"/>
              <w:rPr>
                <w:rFonts w:hint="eastAsia" w:ascii="宋体" w:hAnsi="宋体" w:eastAsia="宋体"/>
                <w:szCs w:val="21"/>
              </w:rPr>
            </w:pPr>
            <w:r>
              <w:rPr>
                <w:rFonts w:hint="eastAsia" w:ascii="宋体" w:hAnsi="宋体" w:eastAsia="宋体"/>
                <w:szCs w:val="21"/>
              </w:rPr>
              <w:t xml:space="preserve">遥控操作电台与收发短信功能：可通过K接口在1km范围内全功能遥控军用短波电台操作、配置参数，汉字短信传输等。</w:t>
            </w:r>
            <w:r/>
          </w:p>
          <w:p>
            <w:pPr>
              <w:spacing w:before="62" w:after="62"/>
              <w:rPr>
                <w:rFonts w:hint="eastAsia" w:ascii="宋体" w:hAnsi="宋体" w:eastAsia="宋体"/>
                <w:szCs w:val="21"/>
              </w:rPr>
            </w:pPr>
            <w:r>
              <w:rPr>
                <w:rFonts w:hint="eastAsia" w:ascii="宋体" w:hAnsi="宋体" w:eastAsia="宋体"/>
                <w:szCs w:val="21"/>
              </w:rPr>
              <w:t xml:space="preserve">与计算机通信：可与计算机进行固定句型和短信息的传输等。</w:t>
            </w:r>
            <w:r/>
          </w:p>
          <w:p>
            <w:pPr>
              <w:spacing w:before="62" w:after="62"/>
              <w:rPr>
                <w:rFonts w:hint="eastAsia" w:ascii="宋体" w:hAnsi="宋体" w:eastAsia="宋体"/>
                <w:szCs w:val="21"/>
              </w:rPr>
            </w:pPr>
            <w:r>
              <w:rPr>
                <w:rFonts w:hint="eastAsia" w:ascii="宋体" w:hAnsi="宋体" w:eastAsia="宋体"/>
                <w:szCs w:val="21"/>
              </w:rPr>
              <w:t xml:space="preserve">话音通信功能：连接手柄或耳机话筒组可通过电台进行话音通信。</w:t>
            </w:r>
            <w:r/>
          </w:p>
          <w:p>
            <w:pPr>
              <w:spacing w:before="62" w:after="62"/>
              <w:rPr>
                <w:rFonts w:hint="eastAsia" w:ascii="宋体" w:hAnsi="宋体" w:eastAsia="宋体"/>
                <w:szCs w:val="21"/>
              </w:rPr>
            </w:pPr>
            <w:r>
              <w:rPr>
                <w:rFonts w:hint="eastAsia" w:ascii="宋体" w:hAnsi="宋体" w:eastAsia="宋体"/>
                <w:szCs w:val="21"/>
              </w:rPr>
              <w:t xml:space="preserve">短波接入功能：连接智能手柄与电台一起接入短波综合业务网，可实现入网注册、退网注销、保密话音和文本通信等功能。</w:t>
            </w:r>
            <w:r/>
          </w:p>
          <w:p>
            <w:pPr>
              <w:spacing w:before="62" w:after="62"/>
              <w:rPr>
                <w:rFonts w:hint="eastAsia" w:ascii="宋体" w:hAnsi="宋体" w:eastAsia="宋体"/>
                <w:szCs w:val="21"/>
              </w:rPr>
            </w:pPr>
            <w:r>
              <w:rPr>
                <w:rFonts w:hint="eastAsia" w:ascii="宋体" w:hAnsi="宋体" w:eastAsia="宋体"/>
                <w:szCs w:val="21"/>
              </w:rPr>
              <w:t xml:space="preserve">5.自动延时守候：</w:t>
            </w:r>
            <w:r/>
          </w:p>
          <w:p>
            <w:pPr>
              <w:spacing w:before="62" w:after="62"/>
              <w:rPr>
                <w:rFonts w:hint="eastAsia" w:ascii="宋体" w:hAnsi="宋体" w:eastAsia="宋体"/>
                <w:szCs w:val="21"/>
              </w:rPr>
            </w:pPr>
            <w:r>
              <w:rPr>
                <w:rFonts w:hint="eastAsia" w:ascii="宋体" w:hAnsi="宋体" w:eastAsia="宋体"/>
                <w:szCs w:val="21"/>
              </w:rPr>
              <w:t xml:space="preserve">遥控终端在90（1±5%）秒内不按键操作，自动关闭液晶屏，进入候机状态。</w:t>
            </w:r>
            <w:r/>
          </w:p>
          <w:p>
            <w:pPr>
              <w:spacing w:before="62" w:after="62"/>
              <w:rPr>
                <w:rFonts w:hint="eastAsia" w:ascii="宋体" w:hAnsi="宋体" w:eastAsia="宋体"/>
                <w:szCs w:val="21"/>
              </w:rPr>
            </w:pPr>
            <w:r>
              <w:rPr>
                <w:rFonts w:hint="eastAsia" w:ascii="宋体" w:hAnsi="宋体" w:eastAsia="宋体"/>
                <w:szCs w:val="21"/>
              </w:rPr>
              <w:t xml:space="preserve">6.接口：K口</w:t>
            </w:r>
            <w:r/>
          </w:p>
          <w:p>
            <w:pPr>
              <w:spacing w:before="62" w:after="62"/>
              <w:rPr>
                <w:rFonts w:hint="eastAsia" w:ascii="宋体" w:hAnsi="宋体" w:eastAsia="宋体"/>
                <w:szCs w:val="21"/>
              </w:rPr>
            </w:pPr>
            <w:r>
              <w:rPr>
                <w:rFonts w:hint="eastAsia" w:ascii="宋体" w:hAnsi="宋体" w:eastAsia="宋体"/>
                <w:szCs w:val="21"/>
              </w:rPr>
              <w:t xml:space="preserve">接线螺柱JL15-01Z1（两个）。</w:t>
            </w:r>
            <w:r/>
          </w:p>
          <w:p>
            <w:pPr>
              <w:spacing w:before="62" w:after="62"/>
              <w:rPr>
                <w:rFonts w:hint="eastAsia" w:ascii="宋体" w:hAnsi="宋体" w:eastAsia="宋体"/>
                <w:szCs w:val="21"/>
              </w:rPr>
            </w:pPr>
            <w:r>
              <w:rPr>
                <w:rFonts w:hint="eastAsia" w:ascii="宋体" w:hAnsi="宋体" w:eastAsia="宋体"/>
                <w:szCs w:val="21"/>
              </w:rPr>
              <w:t xml:space="preserve">数据/音频口</w:t>
            </w:r>
            <w:r/>
          </w:p>
          <w:p>
            <w:pPr>
              <w:spacing w:before="62" w:after="62"/>
              <w:rPr>
                <w:rFonts w:hint="eastAsia" w:ascii="宋体" w:hAnsi="宋体" w:eastAsia="宋体"/>
                <w:szCs w:val="21"/>
              </w:rPr>
            </w:pPr>
            <w:r>
              <w:rPr>
                <w:rFonts w:hint="eastAsia" w:ascii="宋体" w:hAnsi="宋体" w:eastAsia="宋体"/>
                <w:szCs w:val="21"/>
              </w:rPr>
              <w:t xml:space="preserve">采用圆形π型滤波圆盘插座TL24B24C1014KR-1（两个）。</w:t>
            </w:r>
            <w:r/>
          </w:p>
          <w:p>
            <w:pPr>
              <w:spacing w:before="62" w:after="62"/>
              <w:rPr>
                <w:rFonts w:hint="eastAsia" w:ascii="宋体" w:hAnsi="宋体" w:eastAsia="宋体"/>
                <w:szCs w:val="21"/>
              </w:rPr>
            </w:pPr>
            <w:r>
              <w:rPr>
                <w:rFonts w:hint="eastAsia" w:ascii="宋体" w:hAnsi="宋体" w:eastAsia="宋体"/>
                <w:szCs w:val="21"/>
              </w:rPr>
              <w:t xml:space="preserve">数据接口</w:t>
            </w:r>
            <w:r/>
          </w:p>
          <w:p>
            <w:pPr>
              <w:spacing w:before="62" w:after="62"/>
              <w:rPr>
                <w:rFonts w:hint="eastAsia" w:ascii="宋体" w:hAnsi="宋体" w:eastAsia="宋体"/>
                <w:szCs w:val="21"/>
              </w:rPr>
            </w:pPr>
            <w:r>
              <w:rPr>
                <w:rFonts w:hint="eastAsia" w:ascii="宋体" w:hAnsi="宋体" w:eastAsia="宋体"/>
                <w:szCs w:val="21"/>
              </w:rPr>
              <w:t xml:space="preserve">RS-232接口,与短波电台数据口相同。</w:t>
            </w:r>
            <w:r/>
          </w:p>
          <w:p>
            <w:pPr>
              <w:spacing w:before="62" w:after="62"/>
              <w:rPr>
                <w:rFonts w:hint="eastAsia" w:ascii="宋体" w:hAnsi="宋体" w:eastAsia="宋体"/>
                <w:szCs w:val="21"/>
              </w:rPr>
            </w:pPr>
            <w:r>
              <w:rPr>
                <w:rFonts w:hint="eastAsia" w:ascii="宋体" w:hAnsi="宋体" w:eastAsia="宋体"/>
                <w:szCs w:val="21"/>
              </w:rPr>
              <w:t xml:space="preserve">7.音频信噪比</w:t>
            </w:r>
            <w:r/>
          </w:p>
          <w:p>
            <w:pPr>
              <w:spacing w:before="62" w:after="62"/>
              <w:rPr>
                <w:rFonts w:hint="eastAsia" w:ascii="宋体" w:hAnsi="宋体" w:eastAsia="宋体"/>
                <w:szCs w:val="21"/>
              </w:rPr>
            </w:pPr>
            <w:r>
              <w:rPr>
                <w:rFonts w:hint="eastAsia" w:ascii="宋体" w:hAnsi="宋体" w:eastAsia="宋体"/>
                <w:szCs w:val="21"/>
              </w:rPr>
              <w:t xml:space="preserve">从信号源输入音频测试信号时,遥控终端输出信噪比不小于40dB。</w:t>
            </w:r>
            <w:r/>
          </w:p>
          <w:p>
            <w:pPr>
              <w:spacing w:before="62" w:after="62"/>
              <w:rPr>
                <w:rFonts w:hint="eastAsia" w:ascii="宋体" w:hAnsi="宋体" w:eastAsia="宋体"/>
                <w:szCs w:val="21"/>
              </w:rPr>
            </w:pPr>
            <w:r>
              <w:rPr>
                <w:rFonts w:hint="eastAsia" w:ascii="宋体" w:hAnsi="宋体" w:eastAsia="宋体"/>
                <w:szCs w:val="21"/>
              </w:rPr>
              <w:t xml:space="preserve">8.音频失真与频响</w:t>
            </w:r>
            <w:r/>
          </w:p>
          <w:p>
            <w:pPr>
              <w:spacing w:before="62" w:after="62"/>
              <w:rPr>
                <w:rFonts w:hint="eastAsia" w:ascii="宋体" w:hAnsi="宋体" w:eastAsia="宋体"/>
                <w:szCs w:val="21"/>
              </w:rPr>
            </w:pPr>
            <w:r>
              <w:rPr>
                <w:rFonts w:hint="eastAsia" w:ascii="宋体" w:hAnsi="宋体" w:eastAsia="宋体"/>
                <w:szCs w:val="21"/>
              </w:rPr>
              <w:t xml:space="preserve">音频失真 ≤ 5％</w:t>
            </w:r>
            <w:r/>
          </w:p>
          <w:p>
            <w:pPr>
              <w:spacing w:before="62" w:after="62"/>
              <w:rPr>
                <w:rFonts w:hint="eastAsia" w:ascii="宋体" w:hAnsi="宋体" w:eastAsia="宋体"/>
                <w:szCs w:val="21"/>
              </w:rPr>
            </w:pPr>
            <w:r>
              <w:rPr>
                <w:rFonts w:hint="eastAsia" w:ascii="宋体" w:hAnsi="宋体" w:eastAsia="宋体"/>
                <w:szCs w:val="21"/>
              </w:rPr>
              <w:t xml:space="preserve">频响（300Hz～3000Hz）≤ 6dB</w:t>
            </w:r>
            <w:r/>
          </w:p>
          <w:p>
            <w:pPr>
              <w:spacing w:before="62" w:after="62"/>
              <w:rPr>
                <w:rFonts w:hint="eastAsia" w:ascii="宋体" w:hAnsi="宋体" w:eastAsia="宋体"/>
                <w:szCs w:val="21"/>
              </w:rPr>
            </w:pPr>
            <w:r>
              <w:rPr>
                <w:rFonts w:hint="eastAsia" w:ascii="宋体" w:hAnsi="宋体" w:eastAsia="宋体"/>
                <w:szCs w:val="21"/>
              </w:rPr>
              <w:t xml:space="preserve">9.供电电源和功耗</w:t>
            </w:r>
            <w:r/>
          </w:p>
          <w:p>
            <w:pPr>
              <w:spacing w:before="62" w:after="62"/>
              <w:rPr>
                <w:rFonts w:hint="eastAsia" w:ascii="宋体" w:hAnsi="宋体" w:eastAsia="宋体"/>
                <w:szCs w:val="21"/>
              </w:rPr>
            </w:pPr>
            <w:r>
              <w:rPr>
                <w:rFonts w:hint="eastAsia" w:ascii="宋体" w:hAnsi="宋体" w:eastAsia="宋体"/>
                <w:szCs w:val="21"/>
              </w:rPr>
              <w:t xml:space="preserve">电池供电：采用4节5号电池供电，工作电压：4.2V～6.5V</w:t>
            </w:r>
            <w:r/>
          </w:p>
          <w:p>
            <w:pPr>
              <w:spacing w:before="62" w:after="62"/>
              <w:rPr>
                <w:rFonts w:hint="eastAsia" w:ascii="宋体" w:hAnsi="宋体" w:eastAsia="宋体"/>
                <w:szCs w:val="21"/>
              </w:rPr>
            </w:pPr>
            <w:r>
              <w:rPr>
                <w:rFonts w:hint="eastAsia" w:ascii="宋体" w:hAnsi="宋体" w:eastAsia="宋体"/>
                <w:szCs w:val="21"/>
              </w:rPr>
              <w:t xml:space="preserve">外接电源：可外接12V/24V（I ≥ 200mA）直流电压</w:t>
            </w:r>
            <w:r/>
          </w:p>
          <w:p>
            <w:pPr>
              <w:spacing w:before="62" w:after="62"/>
              <w:rPr>
                <w:rFonts w:hint="eastAsia" w:ascii="宋体" w:hAnsi="宋体" w:eastAsia="宋体"/>
                <w:szCs w:val="21"/>
              </w:rPr>
            </w:pPr>
            <w:r>
              <w:rPr>
                <w:rFonts w:hint="eastAsia" w:ascii="宋体" w:hAnsi="宋体" w:eastAsia="宋体"/>
                <w:szCs w:val="21"/>
              </w:rPr>
              <w:t xml:space="preserve">10.尺寸</w:t>
            </w:r>
            <w:r/>
          </w:p>
          <w:p>
            <w:pPr>
              <w:spacing w:before="62" w:after="62"/>
              <w:rPr>
                <w:rFonts w:hint="eastAsia" w:ascii="宋体" w:hAnsi="宋体" w:eastAsia="宋体"/>
                <w:szCs w:val="21"/>
              </w:rPr>
            </w:pPr>
            <w:r>
              <w:rPr>
                <w:rFonts w:hint="eastAsia" w:ascii="宋体" w:hAnsi="宋体" w:eastAsia="宋体"/>
                <w:szCs w:val="21"/>
              </w:rPr>
              <w:t xml:space="preserve">本产品的外形尺寸为：</w:t>
            </w:r>
            <w:r/>
          </w:p>
          <w:p>
            <w:pPr>
              <w:spacing w:before="62" w:after="62"/>
              <w:rPr>
                <w:rFonts w:hint="eastAsia" w:ascii="宋体" w:hAnsi="宋体" w:eastAsia="宋体"/>
                <w:szCs w:val="21"/>
              </w:rPr>
            </w:pPr>
            <w:r>
              <w:rPr>
                <w:rFonts w:hint="eastAsia" w:ascii="宋体" w:hAnsi="宋体" w:eastAsia="宋体"/>
                <w:szCs w:val="21"/>
              </w:rPr>
              <w:t xml:space="preserve">长×宽×高≤ 150mm×90mm×35mm（不含凸出部分）。</w:t>
            </w:r>
            <w:r/>
          </w:p>
          <w:p>
            <w:pPr>
              <w:spacing w:before="62" w:after="62"/>
              <w:rPr>
                <w:rFonts w:hint="eastAsia" w:ascii="宋体" w:hAnsi="宋体" w:eastAsia="宋体"/>
                <w:szCs w:val="21"/>
              </w:rPr>
            </w:pPr>
            <w:r>
              <w:rPr>
                <w:rFonts w:hint="eastAsia" w:ascii="宋体" w:hAnsi="宋体" w:eastAsia="宋体"/>
                <w:szCs w:val="21"/>
              </w:rPr>
              <w:t xml:space="preserve">11.颜色</w:t>
            </w:r>
            <w:r/>
          </w:p>
          <w:p>
            <w:pPr>
              <w:spacing w:before="62" w:after="62"/>
              <w:rPr>
                <w:rFonts w:hint="eastAsia" w:ascii="宋体" w:hAnsi="宋体" w:eastAsia="宋体"/>
                <w:szCs w:val="21"/>
              </w:rPr>
            </w:pPr>
            <w:r>
              <w:rPr>
                <w:rFonts w:hint="eastAsia" w:ascii="宋体" w:hAnsi="宋体" w:eastAsia="宋体"/>
                <w:szCs w:val="21"/>
              </w:rPr>
              <w:t xml:space="preserve">外壳为无光泽军绿色。</w:t>
            </w:r>
            <w:r/>
          </w:p>
          <w:p>
            <w:pPr>
              <w:spacing w:before="62" w:after="62"/>
              <w:rPr>
                <w:rFonts w:hint="eastAsia" w:ascii="宋体" w:hAnsi="宋体" w:eastAsia="宋体"/>
                <w:szCs w:val="21"/>
              </w:rPr>
            </w:pPr>
            <w:r>
              <w:rPr>
                <w:rFonts w:hint="eastAsia" w:ascii="宋体" w:hAnsi="宋体" w:eastAsia="宋体"/>
                <w:szCs w:val="21"/>
              </w:rPr>
              <w:t xml:space="preserve">1</w:t>
            </w:r>
            <w:r>
              <w:rPr>
                <w:rFonts w:hint="eastAsia" w:ascii="宋体" w:hAnsi="宋体" w:eastAsia="宋体"/>
                <w:szCs w:val="21"/>
                <w:lang w:val="en-US" w:eastAsia="zh-CN"/>
              </w:rPr>
              <w:t xml:space="preserve">2</w:t>
            </w:r>
            <w:r>
              <w:rPr>
                <w:rFonts w:hint="eastAsia" w:ascii="宋体" w:hAnsi="宋体" w:eastAsia="宋体"/>
                <w:szCs w:val="21"/>
              </w:rPr>
              <w:t xml:space="preserve">.温度</w:t>
            </w:r>
            <w:r/>
          </w:p>
          <w:p>
            <w:pPr>
              <w:spacing w:before="62" w:after="62"/>
              <w:rPr>
                <w:rFonts w:hint="eastAsia" w:ascii="宋体" w:hAnsi="宋体" w:eastAsia="宋体"/>
                <w:szCs w:val="21"/>
              </w:rPr>
            </w:pPr>
            <w:r>
              <w:rPr>
                <w:rFonts w:hint="eastAsia" w:ascii="宋体" w:hAnsi="宋体" w:eastAsia="宋体"/>
                <w:szCs w:val="21"/>
              </w:rPr>
              <w:t xml:space="preserve">工作温度：-10℃～+55℃；</w:t>
            </w:r>
            <w:r/>
          </w:p>
          <w:p>
            <w:pPr>
              <w:spacing w:before="62" w:after="62"/>
              <w:rPr>
                <w:rFonts w:hint="eastAsia" w:ascii="宋体" w:hAnsi="宋体" w:eastAsia="宋体"/>
                <w:szCs w:val="21"/>
              </w:rPr>
            </w:pPr>
            <w:r>
              <w:rPr>
                <w:rFonts w:hint="eastAsia" w:ascii="宋体" w:hAnsi="宋体" w:eastAsia="宋体"/>
                <w:szCs w:val="21"/>
              </w:rPr>
              <w:t xml:space="preserve">储存温度：-30℃～+65℃。</w:t>
            </w:r>
            <w:r/>
          </w:p>
        </w:tc>
        <w:tc>
          <w:tcPr>
            <w:tcW w:w="709" w:type="dxa"/>
            <w:textDirection w:val="lrTb"/>
            <w:noWrap w:val="false"/>
          </w:tcPr>
          <w:p>
            <w:pPr>
              <w:jc w:val="center"/>
              <w:spacing w:before="62" w:after="62"/>
              <w:rPr>
                <w:rFonts w:hint="eastAsia" w:ascii="宋体" w:hAnsi="宋体" w:eastAsia="宋体"/>
                <w:szCs w:val="21"/>
              </w:rPr>
            </w:pPr>
            <w:r>
              <w:rPr>
                <w:rFonts w:hint="eastAsia" w:ascii="宋体" w:hAnsi="宋体" w:eastAsia="宋体"/>
                <w:szCs w:val="21"/>
              </w:rPr>
              <w:t xml:space="preserve">1</w:t>
            </w:r>
            <w:r/>
          </w:p>
        </w:tc>
        <w:tc>
          <w:tcPr>
            <w:tcW w:w="1071" w:type="dxa"/>
            <w:textDirection w:val="lrTb"/>
            <w:noWrap w:val="false"/>
          </w:tcPr>
          <w:p>
            <w:pPr>
              <w:jc w:val="left"/>
              <w:spacing w:before="62" w:after="62"/>
              <w:rPr>
                <w:rFonts w:hint="eastAsia" w:ascii="宋体" w:hAnsi="宋体"/>
                <w:szCs w:val="21"/>
              </w:rPr>
            </w:pPr>
            <w:r>
              <w:rPr>
                <w:rFonts w:hint="eastAsia" w:ascii="宋体" w:hAnsi="宋体" w:eastAsia="宋体"/>
                <w:szCs w:val="21"/>
              </w:rPr>
              <w:t xml:space="preserve">投标人所提供产品车载短波电台军用遥控终端</w:t>
            </w:r>
            <w:r>
              <w:rPr>
                <w:rFonts w:ascii="宋体" w:hAnsi="宋体" w:eastAsia="宋体"/>
                <w:szCs w:val="21"/>
              </w:rPr>
              <w:t xml:space="preserve">需提供</w:t>
            </w:r>
            <w:r>
              <w:rPr>
                <w:rFonts w:hint="eastAsia" w:ascii="宋体" w:hAnsi="宋体" w:eastAsia="宋体"/>
                <w:szCs w:val="21"/>
              </w:rPr>
              <w:t xml:space="preserve">军工产品定型证书、</w:t>
            </w:r>
            <w:r>
              <w:rPr>
                <w:rFonts w:ascii="宋体" w:hAnsi="宋体" w:eastAsia="宋体"/>
                <w:szCs w:val="21"/>
              </w:rPr>
              <w:t xml:space="preserve">设备制造商针对本项目的参数确认函格式自拟并加盖原厂公章有效</w:t>
            </w:r>
            <w:r>
              <w:rPr>
                <w:rFonts w:hint="eastAsia" w:ascii="宋体" w:hAnsi="宋体" w:eastAsia="宋体"/>
                <w:szCs w:val="21"/>
              </w:rPr>
              <w:t xml:space="preserve">（不满足或未提供均不得分）</w:t>
            </w:r>
            <w:r/>
          </w:p>
        </w:tc>
      </w:tr>
      <w:tr>
        <w:trPr>
          <w:jc w:val="center"/>
        </w:trPr>
        <w:tc>
          <w:tcPr>
            <w:tcW w:w="704" w:type="dxa"/>
            <w:textDirection w:val="lrTb"/>
            <w:noWrap w:val="false"/>
          </w:tcPr>
          <w:p>
            <w:pPr>
              <w:jc w:val="center"/>
              <w:spacing w:before="62" w:after="62"/>
              <w:rPr>
                <w:rFonts w:hint="eastAsia" w:ascii="宋体" w:hAnsi="宋体" w:eastAsia="宋体"/>
                <w:szCs w:val="21"/>
              </w:rPr>
            </w:pPr>
            <w:r>
              <w:rPr>
                <w:rFonts w:hint="eastAsia" w:ascii="宋体" w:hAnsi="宋体" w:eastAsia="宋体"/>
                <w:szCs w:val="21"/>
              </w:rPr>
              <w:t xml:space="preserve">7</w:t>
            </w:r>
            <w:r/>
          </w:p>
        </w:tc>
        <w:tc>
          <w:tcPr>
            <w:tcW w:w="1276" w:type="dxa"/>
            <w:textDirection w:val="lrTb"/>
            <w:noWrap w:val="false"/>
          </w:tcPr>
          <w:p>
            <w:pPr>
              <w:spacing w:before="62" w:after="62"/>
              <w:rPr>
                <w:rFonts w:hint="eastAsia" w:ascii="宋体" w:hAnsi="宋体" w:eastAsia="宋体"/>
                <w:szCs w:val="21"/>
              </w:rPr>
            </w:pPr>
            <w:r>
              <w:rPr>
                <w:rFonts w:hint="eastAsia" w:ascii="宋体" w:hAnsi="宋体" w:eastAsia="宋体"/>
                <w:szCs w:val="21"/>
              </w:rPr>
              <w:t xml:space="preserve">短波电台数传笔记本电脑</w:t>
            </w:r>
            <w:r/>
          </w:p>
        </w:tc>
        <w:tc>
          <w:tcPr>
            <w:tcW w:w="4536" w:type="dxa"/>
            <w:textDirection w:val="lrTb"/>
            <w:noWrap w:val="false"/>
          </w:tcPr>
          <w:p>
            <w:pPr>
              <w:spacing w:before="62" w:after="62"/>
              <w:rPr>
                <w:rFonts w:hint="eastAsia" w:ascii="宋体" w:hAnsi="宋体" w:eastAsia="宋体" w:cs="宋体"/>
              </w:rPr>
            </w:pPr>
            <w:r>
              <w:rPr>
                <w:rFonts w:hint="eastAsia" w:ascii="宋体" w:hAnsi="宋体" w:eastAsia="宋体" w:cs="宋体"/>
              </w:rPr>
              <w:t xml:space="preserve">1.显示屏：14英寸，IPS,分辨率2240*1400，宽屏16:10，屏占比85.8%，支持180度开合100% sRGB高色域，低蓝光护眼屏</w:t>
            </w:r>
            <w:r/>
          </w:p>
          <w:p>
            <w:pPr>
              <w:spacing w:before="62" w:after="62"/>
              <w:rPr>
                <w:rFonts w:hint="eastAsia" w:ascii="宋体" w:hAnsi="宋体" w:eastAsia="宋体" w:cs="宋体"/>
              </w:rPr>
            </w:pPr>
            <w:r>
              <w:rPr>
                <w:rFonts w:hint="eastAsia" w:ascii="宋体" w:hAnsi="宋体" w:eastAsia="宋体" w:cs="宋体"/>
              </w:rPr>
              <w:t xml:space="preserve">2.处理器：兆芯KX-U6780A  （8核心，最高频率2.7GHz)  GPU C-960，4K分辨率 </w:t>
            </w:r>
            <w:r/>
          </w:p>
          <w:p>
            <w:pPr>
              <w:spacing w:before="62" w:after="62"/>
              <w:rPr>
                <w:rFonts w:hint="eastAsia" w:ascii="宋体" w:hAnsi="宋体" w:eastAsia="宋体" w:cs="宋体"/>
              </w:rPr>
            </w:pPr>
            <w:r>
              <w:rPr>
                <w:rFonts w:hint="eastAsia" w:ascii="宋体" w:hAnsi="宋体" w:eastAsia="宋体" w:cs="宋体"/>
              </w:rPr>
              <w:t xml:space="preserve">3.内存：标配16GB </w:t>
            </w:r>
            <w:r/>
          </w:p>
          <w:p>
            <w:pPr>
              <w:spacing w:before="62" w:after="62"/>
              <w:rPr>
                <w:rFonts w:hint="eastAsia" w:ascii="宋体" w:hAnsi="宋体" w:eastAsia="宋体" w:cs="宋体"/>
              </w:rPr>
            </w:pPr>
            <w:r>
              <w:rPr>
                <w:rFonts w:hint="eastAsia" w:ascii="宋体" w:hAnsi="宋体" w:eastAsia="宋体" w:cs="宋体"/>
              </w:rPr>
              <w:t xml:space="preserve">4.存储：M.2 2280 NVMe，标配512GBSSD；</w:t>
            </w:r>
            <w:r/>
          </w:p>
          <w:p>
            <w:pPr>
              <w:spacing w:before="62" w:after="62"/>
              <w:rPr>
                <w:rFonts w:hint="eastAsia" w:ascii="宋体" w:hAnsi="宋体" w:eastAsia="宋体" w:cs="宋体"/>
              </w:rPr>
            </w:pPr>
            <w:r>
              <w:rPr>
                <w:rFonts w:hint="eastAsia" w:ascii="宋体" w:hAnsi="宋体" w:eastAsia="宋体" w:cs="宋体"/>
              </w:rPr>
              <w:t xml:space="preserve">5.扬声器：集成音频设备，双麦克风集成智能降噪算法</w:t>
            </w:r>
            <w:r/>
          </w:p>
          <w:p>
            <w:pPr>
              <w:spacing w:before="62" w:after="62"/>
              <w:rPr>
                <w:rFonts w:hint="eastAsia" w:ascii="宋体" w:hAnsi="宋体" w:eastAsia="宋体" w:cs="宋体"/>
              </w:rPr>
            </w:pPr>
            <w:r>
              <w:rPr>
                <w:rFonts w:hint="eastAsia" w:ascii="宋体" w:hAnsi="宋体" w:eastAsia="宋体" w:cs="宋体"/>
              </w:rPr>
              <w:t xml:space="preserve">6.摄像头：720p摄像头，支持电子开关断电</w:t>
            </w:r>
            <w:r/>
          </w:p>
          <w:p>
            <w:pPr>
              <w:spacing w:before="62" w:after="62"/>
              <w:rPr>
                <w:rFonts w:hint="eastAsia" w:ascii="宋体" w:hAnsi="宋体" w:eastAsia="宋体" w:cs="宋体"/>
              </w:rPr>
            </w:pPr>
            <w:r>
              <w:rPr>
                <w:rFonts w:hint="eastAsia" w:ascii="宋体" w:hAnsi="宋体" w:eastAsia="宋体" w:cs="宋体"/>
              </w:rPr>
              <w:t xml:space="preserve">7.无线通信：WiFi6+蓝牙 5.2</w:t>
            </w:r>
            <w:r/>
          </w:p>
          <w:p>
            <w:pPr>
              <w:spacing w:before="62" w:after="62"/>
              <w:rPr>
                <w:rFonts w:hint="eastAsia" w:ascii="宋体" w:hAnsi="宋体" w:eastAsia="宋体" w:cs="宋体"/>
              </w:rPr>
            </w:pPr>
            <w:r>
              <w:rPr>
                <w:rFonts w:hint="eastAsia" w:ascii="宋体" w:hAnsi="宋体" w:eastAsia="宋体" w:cs="宋体"/>
              </w:rPr>
              <w:t xml:space="preserve">8.IO接口(左侧) ：USB 3.2 Gen1*3、USB 3.2 Gen1 Type C *2（USB+PD）、HDMI 2.0接口*1、耳机麦克风二合一接口*1、Mini RJ45千兆有线网口 *1、</w:t>
            </w:r>
            <w:r/>
          </w:p>
          <w:p>
            <w:pPr>
              <w:spacing w:before="62" w:after="62"/>
              <w:rPr>
                <w:rFonts w:hint="eastAsia" w:ascii="宋体" w:hAnsi="宋体" w:eastAsia="宋体" w:cs="宋体"/>
              </w:rPr>
            </w:pPr>
            <w:r>
              <w:rPr>
                <w:rFonts w:hint="eastAsia" w:ascii="宋体" w:hAnsi="宋体" w:eastAsia="宋体" w:cs="宋体"/>
              </w:rPr>
              <w:t xml:space="preserve">安全锁孔 *1 </w:t>
            </w:r>
            <w:r/>
          </w:p>
          <w:p>
            <w:pPr>
              <w:spacing w:before="62" w:after="62"/>
              <w:rPr>
                <w:rFonts w:hint="eastAsia" w:ascii="宋体" w:hAnsi="宋体" w:eastAsia="宋体" w:cs="宋体"/>
              </w:rPr>
            </w:pPr>
            <w:r>
              <w:rPr>
                <w:rFonts w:hint="eastAsia" w:ascii="宋体" w:hAnsi="宋体" w:eastAsia="宋体" w:cs="宋体"/>
              </w:rPr>
              <w:t xml:space="preserve">9.音频：内置阵列麦克风 </w:t>
            </w:r>
            <w:r/>
          </w:p>
          <w:p>
            <w:pPr>
              <w:spacing w:before="62" w:after="62"/>
              <w:rPr>
                <w:rFonts w:hint="eastAsia" w:ascii="宋体" w:hAnsi="宋体" w:eastAsia="宋体" w:cs="宋体"/>
              </w:rPr>
            </w:pPr>
            <w:r>
              <w:rPr>
                <w:rFonts w:hint="eastAsia" w:ascii="宋体" w:hAnsi="宋体" w:eastAsia="宋体" w:cs="宋体"/>
              </w:rPr>
              <w:t xml:space="preserve">10.键盘：背光防泼溅键盘</w:t>
            </w:r>
            <w:r/>
          </w:p>
          <w:p>
            <w:pPr>
              <w:spacing w:before="62" w:after="62"/>
              <w:rPr>
                <w:rFonts w:hint="eastAsia" w:ascii="宋体" w:hAnsi="宋体" w:eastAsia="宋体" w:cs="宋体"/>
              </w:rPr>
            </w:pPr>
            <w:r>
              <w:rPr>
                <w:rFonts w:hint="eastAsia" w:ascii="宋体" w:hAnsi="宋体" w:eastAsia="宋体" w:cs="宋体"/>
              </w:rPr>
              <w:t xml:space="preserve">11.触控板：一体触控板</w:t>
            </w:r>
            <w:r/>
          </w:p>
          <w:p>
            <w:pPr>
              <w:spacing w:before="62" w:after="62"/>
              <w:rPr>
                <w:rFonts w:hint="eastAsia" w:ascii="宋体" w:hAnsi="宋体" w:eastAsia="宋体" w:cs="宋体"/>
              </w:rPr>
            </w:pPr>
            <w:r>
              <w:rPr>
                <w:rFonts w:hint="eastAsia" w:ascii="宋体" w:hAnsi="宋体" w:eastAsia="宋体" w:cs="宋体"/>
              </w:rPr>
              <w:t xml:space="preserve">12.指纹模块：二合一开机指纹识别器 </w:t>
            </w:r>
            <w:r/>
          </w:p>
          <w:p>
            <w:pPr>
              <w:spacing w:before="62" w:after="62"/>
              <w:rPr>
                <w:rFonts w:hint="eastAsia" w:ascii="宋体" w:hAnsi="宋体" w:eastAsia="宋体" w:cs="宋体"/>
              </w:rPr>
            </w:pPr>
            <w:r>
              <w:rPr>
                <w:rFonts w:hint="eastAsia" w:ascii="宋体" w:hAnsi="宋体" w:eastAsia="宋体" w:cs="宋体"/>
              </w:rPr>
              <w:t xml:space="preserve">13.适配器：65W Type-C适配器、支持快充 </w:t>
            </w:r>
            <w:r/>
          </w:p>
          <w:p>
            <w:pPr>
              <w:spacing w:before="62" w:after="62"/>
              <w:rPr>
                <w:rFonts w:hint="eastAsia" w:ascii="宋体" w:hAnsi="宋体" w:eastAsia="宋体" w:cs="宋体"/>
              </w:rPr>
            </w:pPr>
            <w:r>
              <w:rPr>
                <w:rFonts w:hint="eastAsia" w:ascii="宋体" w:hAnsi="宋体" w:eastAsia="宋体" w:cs="宋体"/>
              </w:rPr>
              <w:t xml:space="preserve">14.电池：电池容量65Wh </w:t>
            </w:r>
            <w:r/>
          </w:p>
          <w:p>
            <w:pPr>
              <w:spacing w:before="62" w:after="62"/>
              <w:rPr>
                <w:rFonts w:hint="eastAsia" w:ascii="宋体" w:hAnsi="宋体" w:eastAsia="宋体" w:cs="宋体"/>
              </w:rPr>
            </w:pPr>
            <w:r>
              <w:rPr>
                <w:rFonts w:hint="eastAsia" w:ascii="宋体" w:hAnsi="宋体" w:eastAsia="宋体" w:cs="宋体"/>
              </w:rPr>
              <w:t xml:space="preserve">14.操作系统：兼容 统信、麒麟、方德操作系统</w:t>
            </w:r>
            <w:r/>
          </w:p>
          <w:p>
            <w:pPr>
              <w:spacing w:before="62" w:after="62"/>
              <w:rPr>
                <w:rFonts w:hint="eastAsia" w:ascii="宋体" w:hAnsi="宋体" w:eastAsia="宋体" w:cs="宋体"/>
              </w:rPr>
            </w:pPr>
            <w:r>
              <w:rPr>
                <w:rFonts w:hint="eastAsia" w:ascii="宋体" w:hAnsi="宋体" w:eastAsia="宋体" w:cs="宋体"/>
              </w:rPr>
              <w:t xml:space="preserve">15.尺寸、重量：313.5*226*16.7mm,整机重量:1.4kg </w:t>
            </w:r>
            <w:r/>
          </w:p>
          <w:p>
            <w:pPr>
              <w:spacing w:before="62" w:after="62"/>
              <w:rPr>
                <w:rFonts w:hint="eastAsia" w:ascii="宋体" w:hAnsi="宋体" w:eastAsia="宋体" w:cs="宋体"/>
                <w:szCs w:val="21"/>
              </w:rPr>
            </w:pPr>
            <w:r>
              <w:rPr>
                <w:rFonts w:hint="eastAsia" w:ascii="宋体" w:hAnsi="宋体" w:eastAsia="宋体" w:cs="宋体"/>
              </w:rPr>
              <w:t xml:space="preserve">16.材料：A/C/D面采用合金金属</w:t>
            </w:r>
            <w:r/>
          </w:p>
        </w:tc>
        <w:tc>
          <w:tcPr>
            <w:tcW w:w="709" w:type="dxa"/>
            <w:textDirection w:val="lrTb"/>
            <w:noWrap w:val="false"/>
          </w:tcPr>
          <w:p>
            <w:pPr>
              <w:jc w:val="center"/>
              <w:spacing w:before="62" w:after="62"/>
              <w:rPr>
                <w:rFonts w:hint="eastAsia" w:ascii="宋体" w:hAnsi="宋体" w:eastAsia="宋体"/>
                <w:szCs w:val="21"/>
              </w:rPr>
            </w:pPr>
            <w:r>
              <w:rPr>
                <w:rFonts w:hint="eastAsia" w:ascii="宋体" w:hAnsi="宋体" w:eastAsia="宋体"/>
                <w:szCs w:val="21"/>
              </w:rPr>
              <w:t xml:space="preserve">1</w:t>
            </w:r>
            <w:r/>
          </w:p>
        </w:tc>
        <w:tc>
          <w:tcPr>
            <w:tcW w:w="1071" w:type="dxa"/>
            <w:textDirection w:val="lrTb"/>
            <w:noWrap w:val="false"/>
          </w:tcPr>
          <w:p>
            <w:pPr>
              <w:jc w:val="center"/>
              <w:spacing w:before="62" w:after="62"/>
              <w:rPr>
                <w:rFonts w:hint="eastAsia" w:ascii="宋体" w:hAnsi="宋体" w:eastAsia="宋体"/>
                <w:szCs w:val="21"/>
              </w:rPr>
            </w:pPr>
            <w:r>
              <w:rPr>
                <w:rFonts w:hint="eastAsia" w:ascii="宋体" w:hAnsi="宋体" w:eastAsia="宋体"/>
                <w:szCs w:val="21"/>
              </w:rPr>
            </w:r>
            <w:r/>
          </w:p>
        </w:tc>
      </w:tr>
      <w:tr>
        <w:trPr>
          <w:jc w:val="center"/>
          <w:trHeight w:val="527"/>
        </w:trPr>
        <w:tc>
          <w:tcPr>
            <w:tcW w:w="704" w:type="dxa"/>
            <w:textDirection w:val="lrTb"/>
            <w:noWrap w:val="false"/>
          </w:tcPr>
          <w:p>
            <w:pPr>
              <w:jc w:val="center"/>
              <w:spacing w:before="62" w:after="62"/>
              <w:rPr>
                <w:rFonts w:hint="eastAsia" w:ascii="宋体" w:hAnsi="宋体" w:eastAsia="宋体"/>
                <w:szCs w:val="21"/>
              </w:rPr>
            </w:pPr>
            <w:r>
              <w:rPr>
                <w:rFonts w:hint="eastAsia" w:ascii="宋体" w:hAnsi="宋体" w:eastAsia="宋体"/>
                <w:szCs w:val="21"/>
              </w:rPr>
              <w:t xml:space="preserve">8</w:t>
            </w:r>
            <w:r/>
          </w:p>
        </w:tc>
        <w:tc>
          <w:tcPr>
            <w:tcW w:w="1276" w:type="dxa"/>
            <w:textDirection w:val="lrTb"/>
            <w:noWrap w:val="false"/>
          </w:tcPr>
          <w:p>
            <w:pPr>
              <w:spacing w:before="62" w:after="62"/>
              <w:rPr>
                <w:rFonts w:hint="eastAsia" w:ascii="宋体" w:hAnsi="宋体" w:eastAsia="宋体"/>
                <w:szCs w:val="21"/>
              </w:rPr>
            </w:pPr>
            <w:r>
              <w:rPr>
                <w:rFonts w:hint="eastAsia" w:ascii="宋体" w:hAnsi="宋体" w:eastAsia="宋体"/>
                <w:szCs w:val="21"/>
              </w:rPr>
              <w:t xml:space="preserve">短波电台数传软件</w:t>
            </w:r>
            <w:r/>
          </w:p>
        </w:tc>
        <w:tc>
          <w:tcPr>
            <w:tcW w:w="4536" w:type="dxa"/>
            <w:textDirection w:val="lrTb"/>
            <w:noWrap w:val="false"/>
          </w:tcPr>
          <w:p>
            <w:pPr>
              <w:spacing w:before="62" w:after="62"/>
              <w:rPr>
                <w:rFonts w:hint="eastAsia" w:ascii="宋体" w:hAnsi="宋体" w:eastAsia="宋体" w:cs="宋体"/>
                <w:szCs w:val="21"/>
              </w:rPr>
            </w:pPr>
            <w:r>
              <w:rPr>
                <w:rFonts w:hint="eastAsia" w:ascii="宋体" w:hAnsi="宋体" w:eastAsia="宋体" w:cs="宋体"/>
                <w:szCs w:val="21"/>
              </w:rPr>
              <w:t xml:space="preserve">1.实时态势：通过电子地图可获取移动电台地理位置，支持轨迹查看和经纬度查询；</w:t>
            </w:r>
            <w:r/>
          </w:p>
          <w:p>
            <w:pPr>
              <w:spacing w:before="62" w:after="62"/>
              <w:rPr>
                <w:rFonts w:hint="eastAsia" w:ascii="宋体" w:hAnsi="宋体" w:eastAsia="宋体" w:cs="宋体"/>
                <w:szCs w:val="21"/>
              </w:rPr>
            </w:pPr>
            <w:r>
              <w:rPr>
                <w:rFonts w:hint="eastAsia" w:ascii="宋体" w:hAnsi="宋体" w:eastAsia="宋体" w:cs="宋体"/>
                <w:szCs w:val="21"/>
              </w:rPr>
              <w:t xml:space="preserve">2.呼叫操作：支持微信探测、快速建链、步进探测、优选建链、指配优先等呼叫方式进行呼叫；</w:t>
            </w:r>
            <w:r/>
          </w:p>
          <w:p>
            <w:pPr>
              <w:spacing w:before="62" w:after="62"/>
              <w:rPr>
                <w:rFonts w:hint="eastAsia" w:ascii="宋体" w:hAnsi="宋体" w:eastAsia="宋体" w:cs="宋体"/>
                <w:szCs w:val="21"/>
              </w:rPr>
            </w:pPr>
            <w:r>
              <w:rPr>
                <w:rFonts w:hint="eastAsia" w:ascii="宋体" w:hAnsi="宋体" w:eastAsia="宋体" w:cs="宋体"/>
                <w:szCs w:val="21"/>
              </w:rPr>
              <w:t xml:space="preserve">3.短信发送和接收：支持双方发送简单的、无格式的纯文字短信息（最大支持500字节）；</w:t>
            </w:r>
            <w:r/>
          </w:p>
          <w:p>
            <w:pPr>
              <w:spacing w:before="62" w:after="62"/>
              <w:rPr>
                <w:rFonts w:hint="eastAsia" w:ascii="宋体" w:hAnsi="宋体" w:eastAsia="宋体" w:cs="宋体"/>
                <w:szCs w:val="21"/>
              </w:rPr>
            </w:pPr>
            <w:r>
              <w:rPr>
                <w:rFonts w:hint="eastAsia" w:ascii="宋体" w:hAnsi="宋体" w:eastAsia="宋体" w:cs="宋体"/>
                <w:szCs w:val="21"/>
              </w:rPr>
              <w:t xml:space="preserve">4.代码传输功能：支持代码的增加、编辑、删除、存储、发送、接收；</w:t>
            </w:r>
            <w:r/>
          </w:p>
          <w:p>
            <w:pPr>
              <w:spacing w:before="62" w:after="62"/>
              <w:rPr>
                <w:rFonts w:hint="eastAsia" w:ascii="宋体" w:hAnsi="宋体" w:eastAsia="宋体" w:cs="宋体"/>
                <w:szCs w:val="21"/>
              </w:rPr>
            </w:pPr>
            <w:r>
              <w:rPr>
                <w:rFonts w:hint="eastAsia" w:ascii="宋体" w:hAnsi="宋体" w:eastAsia="宋体" w:cs="宋体"/>
                <w:szCs w:val="21"/>
              </w:rPr>
              <w:t xml:space="preserve">5.报文传输：按照报文格式传输电报信息；</w:t>
            </w:r>
            <w:r/>
          </w:p>
          <w:p>
            <w:pPr>
              <w:spacing w:before="62" w:after="62"/>
              <w:rPr>
                <w:rFonts w:hint="eastAsia" w:ascii="宋体" w:hAnsi="宋体" w:eastAsia="宋体" w:cs="宋体"/>
                <w:szCs w:val="21"/>
              </w:rPr>
            </w:pPr>
            <w:r>
              <w:rPr>
                <w:rFonts w:hint="eastAsia" w:ascii="宋体" w:hAnsi="宋体" w:eastAsia="宋体" w:cs="宋体"/>
                <w:szCs w:val="21"/>
              </w:rPr>
              <w:t xml:space="preserve">6.数据传输：可发送和接收电子文件；</w:t>
            </w:r>
            <w:r/>
          </w:p>
          <w:p>
            <w:pPr>
              <w:spacing w:before="62" w:after="62"/>
              <w:rPr>
                <w:rFonts w:hint="eastAsia" w:ascii="宋体" w:hAnsi="宋体" w:eastAsia="宋体" w:cs="宋体"/>
                <w:szCs w:val="21"/>
              </w:rPr>
            </w:pPr>
            <w:r>
              <w:rPr>
                <w:rFonts w:hint="eastAsia" w:ascii="宋体" w:hAnsi="宋体" w:eastAsia="宋体" w:cs="宋体"/>
                <w:szCs w:val="21"/>
              </w:rPr>
              <w:t xml:space="preserve">7.▲可支持在信创电脑上运行操作。</w:t>
            </w:r>
            <w:r/>
          </w:p>
        </w:tc>
        <w:tc>
          <w:tcPr>
            <w:tcW w:w="709" w:type="dxa"/>
            <w:textDirection w:val="lrTb"/>
            <w:noWrap w:val="false"/>
          </w:tcPr>
          <w:p>
            <w:pPr>
              <w:jc w:val="center"/>
              <w:spacing w:before="62" w:after="62"/>
              <w:rPr>
                <w:rFonts w:hint="eastAsia" w:ascii="宋体" w:hAnsi="宋体" w:eastAsia="宋体"/>
                <w:szCs w:val="21"/>
              </w:rPr>
            </w:pPr>
            <w:r>
              <w:rPr>
                <w:rFonts w:hint="eastAsia" w:ascii="宋体" w:hAnsi="宋体" w:eastAsia="宋体"/>
                <w:szCs w:val="21"/>
              </w:rPr>
              <w:t xml:space="preserve">1</w:t>
            </w:r>
            <w:r/>
          </w:p>
        </w:tc>
        <w:tc>
          <w:tcPr>
            <w:tcW w:w="1071" w:type="dxa"/>
            <w:textDirection w:val="lrTb"/>
            <w:noWrap w:val="false"/>
          </w:tcPr>
          <w:p>
            <w:pPr>
              <w:jc w:val="left"/>
              <w:spacing w:before="62" w:after="62"/>
              <w:rPr>
                <w:rFonts w:hint="eastAsia" w:ascii="宋体" w:hAnsi="宋体"/>
                <w:szCs w:val="21"/>
              </w:rPr>
            </w:pPr>
            <w:r>
              <w:rPr>
                <w:rFonts w:hint="eastAsia" w:ascii="宋体" w:hAnsi="宋体"/>
                <w:color w:val="000000"/>
                <w:szCs w:val="21"/>
              </w:rPr>
              <w:t xml:space="preserve">投标人须提供功能截图加盖公章</w:t>
            </w:r>
            <w:r/>
          </w:p>
        </w:tc>
      </w:tr>
      <w:tr>
        <w:trPr>
          <w:jc w:val="center"/>
          <w:trHeight w:val="526"/>
        </w:trPr>
        <w:tc>
          <w:tcPr>
            <w:tcW w:w="704" w:type="dxa"/>
            <w:textDirection w:val="lrTb"/>
            <w:noWrap w:val="false"/>
          </w:tcPr>
          <w:p>
            <w:pPr>
              <w:jc w:val="center"/>
              <w:spacing w:before="62" w:after="62"/>
              <w:rPr>
                <w:rFonts w:hint="eastAsia" w:ascii="宋体" w:hAnsi="宋体" w:eastAsia="宋体"/>
                <w:szCs w:val="21"/>
              </w:rPr>
            </w:pPr>
            <w:r>
              <w:rPr>
                <w:rFonts w:hint="eastAsia" w:ascii="宋体" w:hAnsi="宋体" w:eastAsia="宋体"/>
                <w:szCs w:val="21"/>
              </w:rPr>
              <w:t xml:space="preserve">9</w:t>
            </w:r>
            <w:r/>
          </w:p>
        </w:tc>
        <w:tc>
          <w:tcPr>
            <w:tcW w:w="1276" w:type="dxa"/>
            <w:textDirection w:val="lrTb"/>
            <w:noWrap w:val="false"/>
          </w:tcPr>
          <w:p>
            <w:pPr>
              <w:spacing w:before="62" w:after="62"/>
              <w:rPr>
                <w:rFonts w:hint="eastAsia" w:ascii="宋体" w:hAnsi="宋体" w:eastAsia="宋体"/>
                <w:szCs w:val="21"/>
              </w:rPr>
            </w:pPr>
            <w:r>
              <w:rPr>
                <w:rFonts w:hint="eastAsia" w:ascii="宋体" w:hAnsi="宋体" w:eastAsia="宋体"/>
                <w:szCs w:val="21"/>
              </w:rPr>
              <w:t xml:space="preserve">信创电脑生态兼容适配系统</w:t>
            </w:r>
            <w:r/>
          </w:p>
        </w:tc>
        <w:tc>
          <w:tcPr>
            <w:tcW w:w="4536" w:type="dxa"/>
            <w:textDirection w:val="lrTb"/>
            <w:noWrap w:val="false"/>
          </w:tcPr>
          <w:p>
            <w:pPr>
              <w:spacing w:before="62" w:after="62"/>
              <w:rPr>
                <w:rFonts w:hint="eastAsia" w:ascii="宋体" w:hAnsi="宋体" w:eastAsia="宋体"/>
                <w:szCs w:val="21"/>
              </w:rPr>
            </w:pPr>
            <w:r>
              <w:rPr>
                <w:rFonts w:hint="eastAsia" w:ascii="宋体" w:hAnsi="宋体" w:eastAsia="宋体"/>
                <w:szCs w:val="21"/>
              </w:rPr>
              <w:t xml:space="preserve">为满足在信创电脑上正常运行短波电台数传软件和卫星控制软件，须配备信创电脑生态兼容适配系统，适配系统应满足以下要求，其中带星号项为必须满足的条件。</w:t>
            </w:r>
            <w:r/>
          </w:p>
          <w:p>
            <w:pPr>
              <w:spacing w:before="62" w:after="62"/>
              <w:rPr>
                <w:rFonts w:hint="eastAsia" w:ascii="宋体" w:hAnsi="宋体" w:eastAsia="宋体"/>
                <w:szCs w:val="21"/>
              </w:rPr>
            </w:pPr>
            <w:r>
              <w:rPr>
                <w:rFonts w:hint="eastAsia" w:ascii="宋体" w:hAnsi="宋体" w:eastAsia="宋体"/>
                <w:szCs w:val="21"/>
              </w:rPr>
              <w:t xml:space="preserve">1.</w:t>
            </w:r>
            <w:r>
              <w:rPr>
                <w:rFonts w:ascii="宋体" w:hAnsi="宋体" w:eastAsia="宋体"/>
                <w:szCs w:val="21"/>
              </w:rPr>
              <w:t xml:space="preserve">适配国产主流操作系统：支持目前主流的国产操作系统：统信桌面操作系统、银河麒麟桌面操作系统、方德桌面操作系统；</w:t>
            </w:r>
            <w:r/>
          </w:p>
          <w:p>
            <w:pPr>
              <w:jc w:val="left"/>
              <w:spacing w:before="62" w:after="62"/>
              <w:rPr>
                <w:rFonts w:hint="eastAsia" w:ascii="宋体" w:hAnsi="宋体" w:eastAsia="宋体"/>
                <w:szCs w:val="21"/>
              </w:rPr>
            </w:pPr>
            <w:r>
              <w:rPr>
                <w:rFonts w:hint="eastAsia" w:ascii="宋体" w:hAnsi="宋体" w:eastAsia="宋体"/>
                <w:szCs w:val="21"/>
              </w:rPr>
              <w:t xml:space="preserve">2.</w:t>
            </w:r>
            <w:r>
              <w:rPr>
                <w:rFonts w:ascii="宋体" w:hAnsi="宋体" w:eastAsia="宋体"/>
                <w:szCs w:val="21"/>
              </w:rPr>
              <w:t xml:space="preserve">▲文件关联打开：支持在国产系统桌面及其它目录双击Windows格式文件(包括.exe、.dwg、.psd、.msi等)自动调用兼容适配应用软件来打开</w:t>
            </w:r>
            <w:r>
              <w:rPr>
                <w:rFonts w:hint="eastAsia" w:ascii="宋体" w:hAnsi="宋体" w:eastAsia="宋体"/>
                <w:szCs w:val="21"/>
              </w:rPr>
              <w:t xml:space="preserve">；</w:t>
            </w:r>
            <w:r/>
          </w:p>
          <w:p>
            <w:pPr>
              <w:spacing w:before="62" w:after="62"/>
              <w:rPr>
                <w:rFonts w:hint="eastAsia" w:ascii="宋体" w:hAnsi="宋体" w:eastAsia="宋体"/>
                <w:szCs w:val="21"/>
              </w:rPr>
            </w:pPr>
            <w:r>
              <w:rPr>
                <w:rFonts w:hint="eastAsia" w:ascii="宋体" w:hAnsi="宋体" w:eastAsia="宋体"/>
                <w:szCs w:val="21"/>
              </w:rPr>
              <w:t xml:space="preserve">3.</w:t>
            </w:r>
            <w:r>
              <w:rPr>
                <w:rFonts w:ascii="宋体" w:hAnsi="宋体" w:eastAsia="宋体"/>
                <w:szCs w:val="21"/>
              </w:rPr>
              <w:t xml:space="preserve">自主适配原Windows应用：支持终端用户自主安装、卸载原Windows应用</w:t>
            </w:r>
            <w:r>
              <w:rPr>
                <w:rFonts w:hint="eastAsia" w:ascii="宋体" w:hAnsi="宋体" w:eastAsia="宋体"/>
                <w:szCs w:val="21"/>
              </w:rPr>
              <w:t xml:space="preserve">；</w:t>
            </w:r>
            <w:r/>
          </w:p>
          <w:p>
            <w:pPr>
              <w:spacing w:before="62" w:after="62"/>
              <w:rPr>
                <w:rFonts w:hint="eastAsia" w:ascii="宋体" w:hAnsi="宋体" w:eastAsia="宋体"/>
                <w:szCs w:val="21"/>
              </w:rPr>
            </w:pPr>
            <w:r>
              <w:rPr>
                <w:rFonts w:hint="eastAsia" w:ascii="宋体" w:hAnsi="宋体" w:eastAsia="宋体"/>
                <w:szCs w:val="21"/>
              </w:rPr>
              <w:t xml:space="preserve">4.</w:t>
            </w:r>
            <w:r>
              <w:rPr>
                <w:rFonts w:ascii="宋体" w:hAnsi="宋体" w:eastAsia="宋体"/>
                <w:szCs w:val="21"/>
              </w:rPr>
              <w:t xml:space="preserve">▲信息安全：通过国家级软件评测机构测评认证，符合国家信息安全等级保护三级安全要求</w:t>
            </w:r>
            <w:r>
              <w:rPr>
                <w:rFonts w:hint="eastAsia" w:ascii="宋体" w:hAnsi="宋体" w:eastAsia="宋体"/>
                <w:szCs w:val="21"/>
              </w:rPr>
              <w:t xml:space="preserve">。</w:t>
            </w:r>
            <w:r/>
          </w:p>
        </w:tc>
        <w:tc>
          <w:tcPr>
            <w:tcW w:w="709" w:type="dxa"/>
            <w:textDirection w:val="lrTb"/>
            <w:noWrap w:val="false"/>
          </w:tcPr>
          <w:p>
            <w:pPr>
              <w:jc w:val="center"/>
              <w:spacing w:before="62" w:after="62"/>
              <w:rPr>
                <w:rFonts w:hint="eastAsia" w:ascii="宋体" w:hAnsi="宋体" w:eastAsia="宋体"/>
                <w:szCs w:val="21"/>
              </w:rPr>
            </w:pPr>
            <w:r>
              <w:rPr>
                <w:rFonts w:hint="eastAsia" w:ascii="宋体" w:hAnsi="宋体" w:eastAsia="宋体"/>
                <w:szCs w:val="21"/>
              </w:rPr>
              <w:t xml:space="preserve">1</w:t>
            </w:r>
            <w:r/>
          </w:p>
        </w:tc>
        <w:tc>
          <w:tcPr>
            <w:tcW w:w="1071" w:type="dxa"/>
            <w:textDirection w:val="lrTb"/>
            <w:noWrap w:val="false"/>
          </w:tcPr>
          <w:p>
            <w:pPr>
              <w:jc w:val="center"/>
              <w:spacing w:before="62" w:after="62"/>
              <w:rPr>
                <w:rFonts w:hint="eastAsia" w:ascii="宋体" w:hAnsi="宋体" w:eastAsia="宋体"/>
                <w:szCs w:val="21"/>
              </w:rPr>
            </w:pPr>
            <w:r>
              <w:rPr>
                <w:rFonts w:hint="eastAsia" w:ascii="宋体" w:hAnsi="宋体"/>
                <w:color w:val="000000"/>
                <w:szCs w:val="21"/>
              </w:rPr>
              <w:t xml:space="preserve">投标人须提供功能截图以及国家认证认可的国家信息安全等级保护三级安全证书（相关证书复印件加盖公章）</w:t>
            </w:r>
            <w:r/>
          </w:p>
        </w:tc>
      </w:tr>
      <w:tr>
        <w:trPr>
          <w:jc w:val="center"/>
          <w:trHeight w:val="544"/>
        </w:trPr>
        <w:tc>
          <w:tcPr>
            <w:tcW w:w="704" w:type="dxa"/>
            <w:textDirection w:val="lrTb"/>
            <w:noWrap w:val="false"/>
          </w:tcPr>
          <w:p>
            <w:pPr>
              <w:jc w:val="center"/>
              <w:spacing w:before="62" w:after="62"/>
              <w:rPr>
                <w:rFonts w:hint="eastAsia" w:ascii="宋体" w:hAnsi="宋体" w:eastAsia="宋体"/>
                <w:szCs w:val="21"/>
              </w:rPr>
            </w:pPr>
            <w:r/>
            <w:bookmarkStart w:id="178" w:name="_Hlk214116012"/>
            <w:r>
              <w:rPr>
                <w:rFonts w:hint="eastAsia" w:ascii="宋体" w:hAnsi="宋体" w:eastAsia="宋体"/>
                <w:szCs w:val="21"/>
              </w:rPr>
              <w:t xml:space="preserve">10</w:t>
            </w:r>
            <w:r/>
          </w:p>
        </w:tc>
        <w:tc>
          <w:tcPr>
            <w:tcW w:w="1276" w:type="dxa"/>
            <w:textDirection w:val="lrTb"/>
            <w:noWrap w:val="false"/>
          </w:tcPr>
          <w:p>
            <w:pPr>
              <w:spacing w:before="62" w:after="62"/>
              <w:rPr>
                <w:rFonts w:hint="eastAsia" w:ascii="宋体" w:hAnsi="宋体" w:eastAsia="宋体"/>
                <w:szCs w:val="21"/>
              </w:rPr>
            </w:pPr>
            <w:r/>
            <w:bookmarkStart w:id="179" w:name="OLE_LINK1"/>
            <w:r>
              <w:rPr>
                <w:rFonts w:hint="eastAsia" w:ascii="宋体" w:hAnsi="宋体" w:eastAsia="宋体"/>
                <w:szCs w:val="21"/>
              </w:rPr>
              <w:t xml:space="preserve">车辆改造、安装及调试服务</w:t>
            </w:r>
            <w:bookmarkEnd w:id="179"/>
            <w:r/>
            <w:r/>
          </w:p>
        </w:tc>
        <w:tc>
          <w:tcPr>
            <w:tcW w:w="4536" w:type="dxa"/>
            <w:textDirection w:val="lrTb"/>
            <w:noWrap w:val="false"/>
          </w:tcPr>
          <w:p>
            <w:pPr>
              <w:spacing w:before="62" w:after="62"/>
              <w:rPr>
                <w:rFonts w:hint="eastAsia" w:ascii="宋体" w:hAnsi="宋体" w:eastAsia="宋体"/>
                <w:szCs w:val="21"/>
              </w:rPr>
            </w:pPr>
            <w:r>
              <w:rPr>
                <w:rFonts w:hint="eastAsia" w:ascii="宋体" w:hAnsi="宋体" w:eastAsia="宋体"/>
                <w:szCs w:val="21"/>
              </w:rPr>
              <w:t xml:space="preserve">投标单位应自行踏勘现场，所有施工、改造、调试及安装服务都包含在本项内，投标人应自行评估不可预测费，后期不得增补。</w:t>
            </w:r>
            <w:r/>
          </w:p>
        </w:tc>
        <w:tc>
          <w:tcPr>
            <w:tcW w:w="709" w:type="dxa"/>
            <w:textDirection w:val="lrTb"/>
            <w:noWrap w:val="false"/>
          </w:tcPr>
          <w:p>
            <w:pPr>
              <w:jc w:val="center"/>
              <w:spacing w:before="62" w:after="62"/>
              <w:rPr>
                <w:rFonts w:hint="eastAsia" w:ascii="宋体" w:hAnsi="宋体" w:eastAsia="宋体"/>
                <w:szCs w:val="21"/>
              </w:rPr>
            </w:pPr>
            <w:r>
              <w:rPr>
                <w:rFonts w:hint="eastAsia" w:ascii="宋体" w:hAnsi="宋体" w:eastAsia="宋体"/>
                <w:szCs w:val="21"/>
              </w:rPr>
              <w:t xml:space="preserve">1</w:t>
            </w:r>
            <w:r/>
          </w:p>
        </w:tc>
        <w:tc>
          <w:tcPr>
            <w:shd w:val="clear" w:color="auto" w:fill="auto"/>
            <w:tcW w:w="1071" w:type="dxa"/>
            <w:vAlign w:val="top"/>
            <w:textDirection w:val="lrTb"/>
            <w:noWrap w:val="false"/>
          </w:tcPr>
          <w:p>
            <w:pPr>
              <w:jc w:val="center"/>
              <w:spacing w:before="62" w:after="62"/>
              <w:rPr>
                <w:rFonts w:hint="eastAsia" w:ascii="宋体" w:hAnsi="宋体" w:eastAsia="宋体" w:cstheme="minorBidi"/>
                <w:sz w:val="21"/>
                <w:szCs w:val="21"/>
                <w:lang w:val="en-US" w:eastAsia="zh-CN" w:bidi="ar-SA"/>
              </w:rPr>
            </w:pPr>
            <w:r>
              <w:rPr>
                <w:rFonts w:hint="eastAsia" w:ascii="宋体" w:hAnsi="宋体" w:eastAsia="宋体"/>
                <w:szCs w:val="21"/>
              </w:rPr>
              <w:t xml:space="preserve">车辆改造只改造车顶天馈系统安装等，不包含车内机柜等，车内只安装短波电台系统相关设备</w:t>
            </w:r>
            <w:bookmarkEnd w:id="178"/>
            <w:r/>
            <w:r/>
          </w:p>
        </w:tc>
      </w:tr>
    </w:tbl>
    <w:p>
      <w:pPr>
        <w:spacing w:after="156" w:line="500" w:lineRule="atLeast"/>
        <w:rPr>
          <w:rFonts w:hint="eastAsia" w:ascii="宋体" w:hAnsi="宋体" w:eastAsia="宋体"/>
          <w:b/>
          <w:bCs/>
          <w:sz w:val="24"/>
        </w:rPr>
        <w:outlineLvl w:val="1"/>
      </w:pPr>
      <w:r/>
      <w:bookmarkStart w:id="180" w:name="_Toc167979426"/>
      <w:r/>
      <w:bookmarkStart w:id="181" w:name="_Toc167979699"/>
      <w:r>
        <w:rPr>
          <w:rFonts w:hint="eastAsia" w:ascii="宋体" w:hAnsi="宋体" w:eastAsia="宋体"/>
          <w:b/>
          <w:bCs/>
          <w:sz w:val="24"/>
        </w:rPr>
        <w:t xml:space="preserve">三、商务要求表</w:t>
      </w:r>
      <w:bookmarkEnd w:id="180"/>
      <w:r/>
      <w:bookmarkEnd w:id="181"/>
      <w:r/>
      <w:r/>
    </w:p>
    <w:tbl>
      <w:tblPr>
        <w:tblStyle w:val="859"/>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846"/>
        <w:gridCol w:w="1701"/>
        <w:gridCol w:w="5749"/>
      </w:tblGrid>
      <w:tr>
        <w:trPr>
          <w:jc w:val="center"/>
        </w:trPr>
        <w:tc>
          <w:tcPr>
            <w:tcW w:w="846" w:type="dxa"/>
            <w:vAlign w:val="center"/>
            <w:textDirection w:val="lrTb"/>
            <w:noWrap w:val="false"/>
          </w:tcPr>
          <w:p>
            <w:pPr>
              <w:jc w:val="center"/>
              <w:spacing w:before="93" w:after="93"/>
              <w:rPr>
                <w:rFonts w:hint="eastAsia" w:ascii="宋体" w:hAnsi="宋体" w:eastAsia="宋体"/>
                <w:b/>
                <w:bCs/>
                <w:szCs w:val="21"/>
              </w:rPr>
            </w:pPr>
            <w:r>
              <w:rPr>
                <w:rFonts w:hint="eastAsia" w:ascii="宋体" w:hAnsi="宋体" w:eastAsia="宋体"/>
                <w:b/>
                <w:bCs/>
                <w:szCs w:val="21"/>
              </w:rPr>
              <w:t xml:space="preserve">序号</w:t>
            </w:r>
            <w:r/>
          </w:p>
        </w:tc>
        <w:tc>
          <w:tcPr>
            <w:tcW w:w="1701" w:type="dxa"/>
            <w:vAlign w:val="center"/>
            <w:textDirection w:val="lrTb"/>
            <w:noWrap w:val="false"/>
          </w:tcPr>
          <w:p>
            <w:pPr>
              <w:jc w:val="center"/>
              <w:spacing w:before="93" w:after="93"/>
              <w:rPr>
                <w:rFonts w:hint="eastAsia" w:ascii="宋体" w:hAnsi="宋体" w:eastAsia="宋体"/>
                <w:b/>
                <w:bCs/>
                <w:szCs w:val="21"/>
              </w:rPr>
            </w:pPr>
            <w:r>
              <w:rPr>
                <w:rFonts w:hint="eastAsia" w:ascii="宋体" w:hAnsi="宋体" w:eastAsia="宋体"/>
                <w:b/>
                <w:bCs/>
                <w:szCs w:val="21"/>
              </w:rPr>
              <w:t xml:space="preserve">类别</w:t>
            </w:r>
            <w:r/>
          </w:p>
        </w:tc>
        <w:tc>
          <w:tcPr>
            <w:tcW w:w="5749" w:type="dxa"/>
            <w:vAlign w:val="center"/>
            <w:textDirection w:val="lrTb"/>
            <w:noWrap w:val="false"/>
          </w:tcPr>
          <w:p>
            <w:pPr>
              <w:jc w:val="center"/>
              <w:spacing w:before="93" w:after="93"/>
              <w:rPr>
                <w:rFonts w:hint="eastAsia" w:ascii="宋体" w:hAnsi="宋体" w:eastAsia="宋体"/>
                <w:b/>
                <w:bCs/>
                <w:szCs w:val="21"/>
              </w:rPr>
            </w:pPr>
            <w:r>
              <w:rPr>
                <w:rFonts w:hint="eastAsia" w:ascii="宋体" w:hAnsi="宋体" w:eastAsia="宋体"/>
                <w:b/>
                <w:bCs/>
                <w:szCs w:val="21"/>
              </w:rPr>
              <w:t xml:space="preserve">要求</w:t>
            </w:r>
            <w:r/>
          </w:p>
        </w:tc>
      </w:tr>
      <w:tr>
        <w:trPr>
          <w:jc w:val="center"/>
        </w:trPr>
        <w:tc>
          <w:tcPr>
            <w:tcW w:w="846" w:type="dxa"/>
            <w:vAlign w:val="center"/>
            <w:textDirection w:val="lrTb"/>
            <w:noWrap w:val="false"/>
          </w:tcPr>
          <w:p>
            <w:pPr>
              <w:jc w:val="center"/>
              <w:spacing w:before="93" w:after="93"/>
              <w:rPr>
                <w:rFonts w:hint="eastAsia" w:ascii="宋体" w:hAnsi="宋体" w:eastAsia="宋体"/>
                <w:szCs w:val="21"/>
              </w:rPr>
            </w:pPr>
            <w:r>
              <w:rPr>
                <w:rFonts w:hint="eastAsia" w:ascii="宋体" w:hAnsi="宋体" w:eastAsia="宋体"/>
                <w:szCs w:val="21"/>
              </w:rPr>
              <w:t xml:space="preserve">1</w:t>
            </w:r>
            <w:r/>
          </w:p>
        </w:tc>
        <w:tc>
          <w:tcPr>
            <w:tcW w:w="1701" w:type="dxa"/>
            <w:vAlign w:val="center"/>
            <w:textDirection w:val="lrTb"/>
            <w:noWrap w:val="false"/>
          </w:tcPr>
          <w:p>
            <w:pPr>
              <w:spacing w:before="93" w:after="93"/>
              <w:rPr>
                <w:rFonts w:hint="eastAsia" w:ascii="宋体" w:hAnsi="宋体" w:eastAsia="宋体"/>
                <w:szCs w:val="21"/>
              </w:rPr>
            </w:pPr>
            <w:r>
              <w:rPr>
                <w:rFonts w:hint="eastAsia" w:ascii="宋体" w:hAnsi="宋体" w:eastAsia="宋体"/>
                <w:szCs w:val="21"/>
              </w:rPr>
              <w:t xml:space="preserve">交付日期</w:t>
            </w:r>
            <w:r/>
          </w:p>
        </w:tc>
        <w:tc>
          <w:tcPr>
            <w:tcW w:w="5749" w:type="dxa"/>
            <w:vAlign w:val="center"/>
            <w:textDirection w:val="lrTb"/>
            <w:noWrap w:val="false"/>
          </w:tcPr>
          <w:p>
            <w:pPr>
              <w:spacing w:before="93" w:after="93"/>
              <w:rPr>
                <w:rFonts w:hint="eastAsia" w:ascii="宋体" w:hAnsi="宋体" w:eastAsia="宋体"/>
                <w:szCs w:val="21"/>
              </w:rPr>
            </w:pPr>
            <w:r>
              <w:rPr>
                <w:rFonts w:hint="eastAsia" w:ascii="宋体" w:hAnsi="宋体" w:eastAsia="宋体" w:cs="宋体"/>
                <w:color w:val="000000"/>
              </w:rPr>
              <w:t xml:space="preserve">合同签订后30日内供货到采购人指定地点，安装调试完毕并经采购人验收合格</w:t>
            </w:r>
            <w:r/>
          </w:p>
        </w:tc>
      </w:tr>
      <w:tr>
        <w:trPr>
          <w:jc w:val="center"/>
        </w:trPr>
        <w:tc>
          <w:tcPr>
            <w:tcW w:w="846" w:type="dxa"/>
            <w:vAlign w:val="center"/>
            <w:textDirection w:val="lrTb"/>
            <w:noWrap w:val="false"/>
          </w:tcPr>
          <w:p>
            <w:pPr>
              <w:jc w:val="center"/>
              <w:spacing w:before="93" w:after="93"/>
              <w:rPr>
                <w:rFonts w:hint="eastAsia" w:ascii="宋体" w:hAnsi="宋体" w:eastAsia="宋体"/>
                <w:szCs w:val="21"/>
              </w:rPr>
            </w:pPr>
            <w:r>
              <w:rPr>
                <w:rFonts w:hint="eastAsia" w:ascii="宋体" w:hAnsi="宋体" w:eastAsia="宋体"/>
                <w:szCs w:val="21"/>
              </w:rPr>
              <w:t xml:space="preserve">2</w:t>
            </w:r>
            <w:r/>
          </w:p>
        </w:tc>
        <w:tc>
          <w:tcPr>
            <w:tcW w:w="1701" w:type="dxa"/>
            <w:vAlign w:val="center"/>
            <w:textDirection w:val="lrTb"/>
            <w:noWrap w:val="false"/>
          </w:tcPr>
          <w:p>
            <w:pPr>
              <w:spacing w:before="93" w:after="93"/>
              <w:rPr>
                <w:rFonts w:hint="eastAsia" w:ascii="宋体" w:hAnsi="宋体" w:eastAsia="宋体"/>
                <w:szCs w:val="21"/>
              </w:rPr>
            </w:pPr>
            <w:r>
              <w:rPr>
                <w:rFonts w:hint="eastAsia" w:ascii="宋体" w:hAnsi="宋体" w:eastAsia="宋体"/>
                <w:szCs w:val="21"/>
              </w:rPr>
              <w:t xml:space="preserve">交货方式</w:t>
            </w:r>
            <w:r/>
          </w:p>
        </w:tc>
        <w:tc>
          <w:tcPr>
            <w:tcW w:w="5749" w:type="dxa"/>
            <w:vAlign w:val="center"/>
            <w:textDirection w:val="lrTb"/>
            <w:noWrap w:val="false"/>
          </w:tcPr>
          <w:p>
            <w:pPr>
              <w:spacing w:before="93" w:after="93"/>
              <w:rPr>
                <w:rFonts w:hint="eastAsia" w:ascii="宋体" w:hAnsi="宋体" w:eastAsia="宋体"/>
                <w:szCs w:val="21"/>
              </w:rPr>
            </w:pPr>
            <w:r>
              <w:rPr>
                <w:rFonts w:hint="eastAsia" w:ascii="宋体" w:hAnsi="宋体" w:eastAsia="宋体"/>
                <w:szCs w:val="21"/>
              </w:rPr>
              <w:t xml:space="preserve">按采购人要求执行</w:t>
            </w:r>
            <w:r/>
          </w:p>
        </w:tc>
      </w:tr>
      <w:tr>
        <w:trPr>
          <w:jc w:val="center"/>
        </w:trPr>
        <w:tc>
          <w:tcPr>
            <w:tcW w:w="846" w:type="dxa"/>
            <w:vAlign w:val="center"/>
            <w:textDirection w:val="lrTb"/>
            <w:noWrap w:val="false"/>
          </w:tcPr>
          <w:p>
            <w:pPr>
              <w:jc w:val="center"/>
              <w:spacing w:before="93" w:after="93"/>
              <w:rPr>
                <w:rFonts w:hint="eastAsia" w:ascii="宋体" w:hAnsi="宋体" w:eastAsia="宋体"/>
                <w:szCs w:val="21"/>
              </w:rPr>
            </w:pPr>
            <w:r>
              <w:rPr>
                <w:rFonts w:hint="eastAsia" w:ascii="宋体" w:hAnsi="宋体" w:eastAsia="宋体"/>
                <w:szCs w:val="21"/>
              </w:rPr>
              <w:t xml:space="preserve">3</w:t>
            </w:r>
            <w:r/>
          </w:p>
        </w:tc>
        <w:tc>
          <w:tcPr>
            <w:tcW w:w="1701" w:type="dxa"/>
            <w:vAlign w:val="center"/>
            <w:textDirection w:val="lrTb"/>
            <w:noWrap w:val="false"/>
          </w:tcPr>
          <w:p>
            <w:pPr>
              <w:spacing w:before="93" w:after="93"/>
              <w:rPr>
                <w:rFonts w:hint="eastAsia" w:ascii="宋体" w:hAnsi="宋体" w:eastAsia="宋体"/>
                <w:szCs w:val="21"/>
              </w:rPr>
            </w:pPr>
            <w:r>
              <w:rPr>
                <w:rFonts w:hint="eastAsia" w:ascii="宋体" w:hAnsi="宋体" w:eastAsia="宋体"/>
                <w:szCs w:val="21"/>
              </w:rPr>
              <w:t xml:space="preserve">交货地点</w:t>
            </w:r>
            <w:r/>
          </w:p>
        </w:tc>
        <w:tc>
          <w:tcPr>
            <w:tcW w:w="5749" w:type="dxa"/>
            <w:vAlign w:val="center"/>
            <w:textDirection w:val="lrTb"/>
            <w:noWrap w:val="false"/>
          </w:tcPr>
          <w:p>
            <w:pPr>
              <w:spacing w:before="93" w:after="93"/>
              <w:rPr>
                <w:rFonts w:hint="eastAsia" w:ascii="宋体" w:hAnsi="宋体" w:eastAsia="宋体"/>
                <w:szCs w:val="21"/>
              </w:rPr>
            </w:pPr>
            <w:r>
              <w:rPr>
                <w:rFonts w:hint="eastAsia" w:ascii="宋体" w:hAnsi="宋体" w:eastAsia="宋体"/>
                <w:szCs w:val="21"/>
              </w:rPr>
              <w:t xml:space="preserve">采购人指定地点</w:t>
            </w:r>
            <w:r/>
          </w:p>
        </w:tc>
      </w:tr>
      <w:tr>
        <w:trPr>
          <w:jc w:val="center"/>
        </w:trPr>
        <w:tc>
          <w:tcPr>
            <w:tcW w:w="846" w:type="dxa"/>
            <w:vAlign w:val="center"/>
            <w:textDirection w:val="lrTb"/>
            <w:noWrap w:val="false"/>
          </w:tcPr>
          <w:p>
            <w:pPr>
              <w:jc w:val="center"/>
              <w:spacing w:before="93" w:after="93"/>
              <w:rPr>
                <w:rFonts w:hint="eastAsia" w:ascii="宋体" w:hAnsi="宋体" w:eastAsia="宋体"/>
                <w:szCs w:val="21"/>
              </w:rPr>
            </w:pPr>
            <w:r>
              <w:rPr>
                <w:rFonts w:hint="eastAsia" w:ascii="宋体" w:hAnsi="宋体" w:eastAsia="宋体"/>
                <w:szCs w:val="21"/>
              </w:rPr>
              <w:t xml:space="preserve">4</w:t>
            </w:r>
            <w:r/>
          </w:p>
        </w:tc>
        <w:tc>
          <w:tcPr>
            <w:tcW w:w="1701" w:type="dxa"/>
            <w:vAlign w:val="center"/>
            <w:textDirection w:val="lrTb"/>
            <w:noWrap w:val="false"/>
          </w:tcPr>
          <w:p>
            <w:pPr>
              <w:spacing w:before="93" w:after="93"/>
              <w:rPr>
                <w:rFonts w:hint="eastAsia" w:ascii="宋体" w:hAnsi="宋体" w:eastAsia="宋体"/>
                <w:szCs w:val="21"/>
              </w:rPr>
            </w:pPr>
            <w:r>
              <w:rPr>
                <w:rFonts w:hint="eastAsia" w:ascii="宋体" w:hAnsi="宋体" w:eastAsia="宋体"/>
                <w:szCs w:val="21"/>
              </w:rPr>
              <w:t xml:space="preserve">付款方式</w:t>
            </w:r>
            <w:r/>
          </w:p>
        </w:tc>
        <w:tc>
          <w:tcPr>
            <w:tcW w:w="5749" w:type="dxa"/>
            <w:vAlign w:val="center"/>
            <w:textDirection w:val="lrTb"/>
            <w:noWrap w:val="false"/>
          </w:tcPr>
          <w:p>
            <w:pPr>
              <w:rPr>
                <w:rFonts w:hint="eastAsia" w:ascii="宋体" w:hAnsi="宋体" w:eastAsia="宋体"/>
                <w:szCs w:val="21"/>
              </w:rPr>
            </w:pPr>
            <w:r>
              <w:rPr>
                <w:rFonts w:hint="eastAsia" w:ascii="宋体" w:hAnsi="宋体" w:eastAsia="宋体"/>
                <w:szCs w:val="21"/>
              </w:rPr>
              <w:t xml:space="preserve">本项目分三次支付:</w:t>
            </w:r>
            <w:r/>
          </w:p>
          <w:p>
            <w:pPr>
              <w:numPr>
                <w:ilvl w:val="0"/>
                <w:numId w:val="1"/>
              </w:numPr>
              <w:jc w:val="left"/>
              <w:rPr>
                <w:rFonts w:hint="eastAsia" w:ascii="宋体" w:hAnsi="宋体" w:eastAsia="宋体"/>
                <w:szCs w:val="21"/>
              </w:rPr>
            </w:pPr>
            <w:r>
              <w:rPr>
                <w:rFonts w:hint="eastAsia" w:ascii="宋体" w:hAnsi="宋体" w:eastAsia="宋体"/>
                <w:szCs w:val="21"/>
              </w:rPr>
              <w:t xml:space="preserve">本项目落实预付款制度，预付款比例为30%。在签订合同时，中标供应商明确书面表示无需预付款或者主动要求降低预付款比例的，采购人可不适用前述规定。</w:t>
            </w:r>
            <w:r/>
          </w:p>
          <w:p>
            <w:pPr>
              <w:jc w:val="left"/>
              <w:rPr>
                <w:rFonts w:hint="eastAsia" w:ascii="宋体" w:hAnsi="宋体" w:eastAsia="宋体"/>
                <w:szCs w:val="21"/>
              </w:rPr>
            </w:pPr>
            <w:r>
              <w:rPr>
                <w:rFonts w:hint="eastAsia" w:ascii="宋体" w:hAnsi="宋体" w:eastAsia="宋体"/>
                <w:szCs w:val="21"/>
              </w:rPr>
              <w:t xml:space="preserve">（2）设备采购到达项目现场后，经甲方点验无误后方可进行安装；设备安装调试完毕，对相关操作人员培训完成并验收合格后付至甲方确认设备数量合同价款的95%。</w:t>
            </w:r>
            <w:r/>
          </w:p>
          <w:p>
            <w:pPr>
              <w:rPr>
                <w:rFonts w:hint="eastAsia" w:ascii="宋体" w:hAnsi="宋体" w:eastAsia="宋体"/>
                <w:szCs w:val="21"/>
              </w:rPr>
            </w:pPr>
            <w:r>
              <w:rPr>
                <w:rFonts w:hint="eastAsia" w:ascii="宋体" w:hAnsi="宋体" w:eastAsia="宋体"/>
                <w:szCs w:val="21"/>
              </w:rPr>
              <w:t xml:space="preserve">（3）余款在质量保证期届满后，如未发现质量问题则无息付清；如发现质量问题，乙方应当无偿维修、更换，质量保证期与余款支付时间重新计算。</w:t>
            </w:r>
            <w:r/>
          </w:p>
          <w:p>
            <w:pPr>
              <w:rPr>
                <w:rFonts w:hint="eastAsia" w:ascii="宋体" w:hAnsi="宋体" w:eastAsia="宋体"/>
                <w:szCs w:val="21"/>
              </w:rPr>
            </w:pPr>
            <w:r>
              <w:rPr>
                <w:rFonts w:hint="eastAsia" w:ascii="宋体" w:hAnsi="宋体" w:eastAsia="宋体"/>
                <w:szCs w:val="21"/>
              </w:rPr>
              <w:t xml:space="preserve">每次付款前，乙方应当开具相应金额的增值税发票并送达甲方，否则，甲方付款时间顺延且不承担违约责任。</w:t>
            </w:r>
            <w:r/>
          </w:p>
        </w:tc>
      </w:tr>
      <w:tr>
        <w:trPr>
          <w:jc w:val="center"/>
        </w:trPr>
        <w:tc>
          <w:tcPr>
            <w:tcW w:w="846" w:type="dxa"/>
            <w:vAlign w:val="center"/>
            <w:textDirection w:val="lrTb"/>
            <w:noWrap w:val="false"/>
          </w:tcPr>
          <w:p>
            <w:pPr>
              <w:jc w:val="center"/>
              <w:spacing w:before="93" w:after="93"/>
              <w:rPr>
                <w:rFonts w:hint="eastAsia" w:ascii="宋体" w:hAnsi="宋体" w:eastAsia="宋体"/>
                <w:szCs w:val="21"/>
              </w:rPr>
            </w:pPr>
            <w:r>
              <w:rPr>
                <w:rFonts w:hint="eastAsia" w:ascii="宋体" w:hAnsi="宋体" w:eastAsia="宋体"/>
                <w:szCs w:val="21"/>
              </w:rPr>
              <w:t xml:space="preserve">5</w:t>
            </w:r>
            <w:r/>
          </w:p>
        </w:tc>
        <w:tc>
          <w:tcPr>
            <w:tcW w:w="1701" w:type="dxa"/>
            <w:vAlign w:val="center"/>
            <w:textDirection w:val="lrTb"/>
            <w:noWrap w:val="false"/>
          </w:tcPr>
          <w:p>
            <w:pPr>
              <w:spacing w:before="93" w:after="93"/>
              <w:rPr>
                <w:rFonts w:hint="eastAsia" w:ascii="宋体" w:hAnsi="宋体" w:eastAsia="宋体"/>
                <w:szCs w:val="21"/>
              </w:rPr>
            </w:pPr>
            <w:r>
              <w:rPr>
                <w:rFonts w:hint="eastAsia" w:ascii="宋体" w:hAnsi="宋体" w:eastAsia="宋体"/>
                <w:szCs w:val="21"/>
              </w:rPr>
              <w:t xml:space="preserve">质保期</w:t>
            </w:r>
            <w:r/>
          </w:p>
        </w:tc>
        <w:tc>
          <w:tcPr>
            <w:tcW w:w="5749" w:type="dxa"/>
            <w:vAlign w:val="center"/>
            <w:textDirection w:val="lrTb"/>
            <w:noWrap w:val="false"/>
          </w:tcPr>
          <w:p>
            <w:pPr>
              <w:spacing w:before="93" w:after="93"/>
              <w:rPr>
                <w:rFonts w:hint="eastAsia" w:ascii="宋体" w:hAnsi="宋体" w:eastAsia="宋体"/>
                <w:szCs w:val="21"/>
              </w:rPr>
            </w:pPr>
            <w:r>
              <w:rPr>
                <w:rFonts w:hint="eastAsia" w:ascii="宋体" w:hAnsi="宋体" w:eastAsia="宋体"/>
                <w:szCs w:val="21"/>
              </w:rPr>
              <w:t xml:space="preserve">一年</w:t>
            </w:r>
            <w:r/>
          </w:p>
        </w:tc>
      </w:tr>
      <w:tr>
        <w:trPr>
          <w:jc w:val="center"/>
        </w:trPr>
        <w:tc>
          <w:tcPr>
            <w:tcW w:w="846" w:type="dxa"/>
            <w:vAlign w:val="center"/>
            <w:textDirection w:val="lrTb"/>
            <w:noWrap w:val="false"/>
          </w:tcPr>
          <w:p>
            <w:pPr>
              <w:jc w:val="center"/>
              <w:spacing w:before="93" w:after="93"/>
              <w:rPr>
                <w:rFonts w:hint="eastAsia" w:ascii="宋体" w:hAnsi="宋体" w:eastAsia="宋体"/>
                <w:szCs w:val="21"/>
              </w:rPr>
            </w:pPr>
            <w:r>
              <w:rPr>
                <w:rFonts w:hint="eastAsia" w:ascii="宋体" w:hAnsi="宋体" w:eastAsia="宋体"/>
                <w:szCs w:val="21"/>
              </w:rPr>
              <w:t xml:space="preserve">6</w:t>
            </w:r>
            <w:r/>
          </w:p>
        </w:tc>
        <w:tc>
          <w:tcPr>
            <w:tcW w:w="1701" w:type="dxa"/>
            <w:vAlign w:val="center"/>
            <w:textDirection w:val="lrTb"/>
            <w:noWrap w:val="false"/>
          </w:tcPr>
          <w:p>
            <w:pPr>
              <w:spacing w:before="93" w:after="93"/>
              <w:rPr>
                <w:rFonts w:hint="eastAsia" w:ascii="宋体" w:hAnsi="宋体" w:eastAsia="宋体"/>
                <w:szCs w:val="21"/>
              </w:rPr>
            </w:pPr>
            <w:r>
              <w:rPr>
                <w:rFonts w:hint="eastAsia" w:ascii="宋体" w:hAnsi="宋体" w:eastAsia="宋体"/>
                <w:szCs w:val="21"/>
              </w:rPr>
              <w:t xml:space="preserve">服务时间</w:t>
            </w:r>
            <w:r/>
          </w:p>
        </w:tc>
        <w:tc>
          <w:tcPr>
            <w:tcW w:w="5749" w:type="dxa"/>
            <w:vAlign w:val="center"/>
            <w:textDirection w:val="lrTb"/>
            <w:noWrap w:val="false"/>
          </w:tcPr>
          <w:p>
            <w:pPr>
              <w:spacing w:before="93" w:after="93"/>
              <w:rPr>
                <w:rFonts w:hint="eastAsia" w:ascii="宋体" w:hAnsi="宋体" w:eastAsia="宋体"/>
                <w:szCs w:val="21"/>
              </w:rPr>
            </w:pPr>
            <w:r>
              <w:rPr>
                <w:rFonts w:hint="eastAsia" w:ascii="宋体" w:hAnsi="宋体" w:eastAsia="宋体"/>
                <w:szCs w:val="21"/>
              </w:rPr>
              <w:t xml:space="preserve">在质保期内，如果发生故障，投标人需在</w:t>
            </w:r>
            <w:r>
              <w:rPr>
                <w:rFonts w:ascii="宋体" w:hAnsi="宋体" w:eastAsia="宋体"/>
                <w:szCs w:val="21"/>
              </w:rPr>
              <w:t xml:space="preserve">24小时内响应，免费上门调查故障原因并修复直至满足最终验收指标和性能的要求。提供7×24小时电话及24小时内响应服务，并在用户需要时48小时内到现场，8小时内解决问题，8小时内无法解决问题的，免费提供备用产品保证日常工作正常进行。</w:t>
            </w:r>
            <w:r/>
          </w:p>
        </w:tc>
      </w:tr>
    </w:tbl>
    <w:p>
      <w:pPr>
        <w:jc w:val="left"/>
        <w:spacing w:line="500" w:lineRule="atLeast"/>
        <w:widowControl/>
        <w:rPr>
          <w:rFonts w:hint="eastAsia" w:ascii="宋体" w:hAnsi="宋体" w:eastAsia="宋体"/>
          <w:szCs w:val="21"/>
        </w:rPr>
      </w:pPr>
      <w:r>
        <w:rPr>
          <w:rFonts w:hint="eastAsia" w:ascii="宋体" w:hAnsi="宋体" w:eastAsia="宋体"/>
          <w:szCs w:val="21"/>
        </w:rPr>
      </w:r>
      <w:r/>
    </w:p>
    <w:p>
      <w:pPr>
        <w:rPr>
          <w:rFonts w:hint="eastAsia" w:ascii="黑体" w:hAnsi="宋体" w:eastAsia="黑体" w:cs="黑体"/>
          <w:color w:val="000000"/>
          <w:sz w:val="44"/>
          <w:szCs w:val="44"/>
        </w:rPr>
      </w:pPr>
      <w:r>
        <w:rPr>
          <w:rFonts w:hint="eastAsia" w:ascii="黑体" w:hAnsi="宋体" w:eastAsia="黑体" w:cs="黑体"/>
          <w:color w:val="000000"/>
          <w:sz w:val="44"/>
          <w:szCs w:val="44"/>
        </w:rPr>
      </w:r>
      <w:r/>
    </w:p>
    <w:p>
      <w:pPr>
        <w:pStyle w:val="850"/>
        <w:rPr>
          <w:rFonts w:hint="eastAsia" w:ascii="黑体" w:hAnsi="宋体" w:eastAsia="黑体" w:cs="黑体"/>
          <w:color w:val="000000"/>
          <w:sz w:val="44"/>
          <w:szCs w:val="44"/>
        </w:rPr>
      </w:pPr>
      <w:r>
        <w:rPr>
          <w:rFonts w:hint="eastAsia" w:ascii="黑体" w:hAnsi="宋体" w:eastAsia="黑体" w:cs="黑体"/>
          <w:color w:val="000000"/>
          <w:sz w:val="44"/>
          <w:szCs w:val="44"/>
        </w:rPr>
      </w:r>
      <w:r/>
    </w:p>
    <w:p>
      <w:pPr>
        <w:rPr>
          <w:rFonts w:hint="eastAsia" w:ascii="黑体" w:hAnsi="宋体" w:eastAsia="黑体" w:cs="黑体"/>
          <w:color w:val="000000"/>
          <w:sz w:val="44"/>
          <w:szCs w:val="44"/>
        </w:rPr>
      </w:pPr>
      <w:r>
        <w:rPr>
          <w:rFonts w:hint="eastAsia" w:ascii="黑体" w:hAnsi="宋体" w:eastAsia="黑体" w:cs="黑体"/>
          <w:color w:val="000000"/>
          <w:sz w:val="44"/>
          <w:szCs w:val="44"/>
        </w:rPr>
      </w:r>
      <w:r/>
    </w:p>
    <w:p>
      <w:pPr>
        <w:pStyle w:val="850"/>
        <w:rPr>
          <w:rFonts w:hint="eastAsia" w:ascii="黑体" w:hAnsi="宋体" w:eastAsia="黑体" w:cs="黑体"/>
          <w:color w:val="000000"/>
          <w:sz w:val="44"/>
          <w:szCs w:val="44"/>
        </w:rPr>
      </w:pPr>
      <w:r>
        <w:rPr>
          <w:rFonts w:hint="eastAsia" w:ascii="黑体" w:hAnsi="宋体" w:eastAsia="黑体" w:cs="黑体"/>
          <w:color w:val="000000"/>
          <w:sz w:val="44"/>
          <w:szCs w:val="44"/>
        </w:rPr>
      </w:r>
      <w:r/>
    </w:p>
    <w:p>
      <w:pPr>
        <w:rPr>
          <w:rFonts w:hint="eastAsia" w:ascii="黑体" w:hAnsi="宋体" w:eastAsia="黑体" w:cs="黑体"/>
          <w:color w:val="000000"/>
          <w:sz w:val="44"/>
          <w:szCs w:val="44"/>
        </w:rPr>
      </w:pPr>
      <w:r>
        <w:rPr>
          <w:rFonts w:hint="eastAsia" w:ascii="黑体" w:hAnsi="宋体" w:eastAsia="黑体" w:cs="黑体"/>
          <w:color w:val="000000"/>
          <w:sz w:val="44"/>
          <w:szCs w:val="44"/>
        </w:rPr>
      </w:r>
      <w:r/>
    </w:p>
    <w:p>
      <w:pPr>
        <w:pStyle w:val="850"/>
        <w:rPr>
          <w:rFonts w:hint="eastAsia" w:ascii="黑体" w:hAnsi="宋体" w:eastAsia="黑体" w:cs="黑体"/>
          <w:color w:val="000000"/>
          <w:sz w:val="44"/>
          <w:szCs w:val="44"/>
        </w:rPr>
      </w:pPr>
      <w:r>
        <w:rPr>
          <w:rFonts w:hint="eastAsia" w:ascii="黑体" w:hAnsi="宋体" w:eastAsia="黑体" w:cs="黑体"/>
          <w:color w:val="000000"/>
          <w:sz w:val="44"/>
          <w:szCs w:val="44"/>
        </w:rPr>
      </w:r>
      <w:r/>
    </w:p>
    <w:p>
      <w:pPr>
        <w:rPr>
          <w:rFonts w:hint="eastAsia" w:ascii="黑体" w:hAnsi="宋体" w:eastAsia="黑体" w:cs="黑体"/>
          <w:color w:val="000000"/>
          <w:sz w:val="44"/>
          <w:szCs w:val="44"/>
        </w:rPr>
      </w:pPr>
      <w:r>
        <w:rPr>
          <w:rFonts w:hint="eastAsia" w:ascii="黑体" w:hAnsi="宋体" w:eastAsia="黑体" w:cs="黑体"/>
          <w:color w:val="000000"/>
          <w:sz w:val="44"/>
          <w:szCs w:val="44"/>
        </w:rPr>
      </w:r>
      <w:r/>
    </w:p>
    <w:p>
      <w:pPr>
        <w:pStyle w:val="850"/>
        <w:rPr>
          <w:rFonts w:hint="eastAsia" w:ascii="黑体" w:hAnsi="宋体" w:eastAsia="黑体" w:cs="黑体"/>
          <w:color w:val="000000"/>
          <w:sz w:val="44"/>
          <w:szCs w:val="44"/>
        </w:rPr>
      </w:pPr>
      <w:r>
        <w:rPr>
          <w:rFonts w:hint="eastAsia" w:ascii="黑体" w:hAnsi="宋体" w:eastAsia="黑体" w:cs="黑体"/>
          <w:color w:val="000000"/>
          <w:sz w:val="44"/>
          <w:szCs w:val="44"/>
        </w:rPr>
      </w:r>
      <w:r/>
    </w:p>
    <w:p>
      <w:pPr>
        <w:rPr>
          <w:rFonts w:hint="eastAsia" w:ascii="黑体" w:hAnsi="宋体" w:eastAsia="黑体" w:cs="黑体"/>
          <w:color w:val="000000"/>
          <w:sz w:val="44"/>
          <w:szCs w:val="44"/>
        </w:rPr>
      </w:pPr>
      <w:r>
        <w:rPr>
          <w:rFonts w:hint="eastAsia" w:ascii="黑体" w:hAnsi="宋体" w:eastAsia="黑体" w:cs="黑体"/>
          <w:color w:val="000000"/>
          <w:sz w:val="44"/>
          <w:szCs w:val="44"/>
        </w:rPr>
      </w:r>
      <w:r/>
    </w:p>
    <w:p>
      <w:pPr>
        <w:rPr>
          <w:rFonts w:hint="eastAsia" w:eastAsiaTheme="minorEastAsia"/>
          <w:lang w:val="en-US" w:eastAsia="zh-CN"/>
        </w:rPr>
      </w:pPr>
      <w:r>
        <w:rPr>
          <w:rFonts w:hint="eastAsia" w:eastAsiaTheme="minorEastAsia"/>
          <w:lang w:val="en-US" w:eastAsia="zh-CN"/>
        </w:rPr>
      </w:r>
      <w:r/>
    </w:p>
    <w:p>
      <w:pPr>
        <w:jc w:val="center"/>
        <w:rPr>
          <w:highlight w:val="none"/>
        </w:rPr>
      </w:pPr>
      <w:r>
        <w:rPr>
          <w:rFonts w:hint="eastAsia" w:ascii="黑体" w:hAnsi="宋体" w:eastAsia="黑体" w:cs="黑体"/>
          <w:color w:val="000000"/>
          <w:sz w:val="44"/>
          <w:szCs w:val="44"/>
          <w:highlight w:val="none"/>
        </w:rPr>
        <w:t xml:space="preserve">第五章  </w:t>
      </w:r>
      <w:r>
        <w:rPr>
          <w:rFonts w:hint="eastAsia" w:ascii="黑体" w:hAnsi="宋体" w:eastAsia="黑体" w:cs="黑体"/>
          <w:b/>
          <w:color w:val="000000"/>
          <w:sz w:val="44"/>
          <w:szCs w:val="44"/>
          <w:highlight w:val="none"/>
        </w:rPr>
        <w:t xml:space="preserve">评标方法与评标标准</w:t>
      </w:r>
      <w:r/>
    </w:p>
    <w:p>
      <w:pPr>
        <w:pStyle w:val="856"/>
        <w:jc w:val="both"/>
        <w:spacing w:beforeAutospacing="0" w:afterAutospacing="0"/>
        <w:rPr>
          <w:highlight w:val="none"/>
        </w:rPr>
      </w:pPr>
      <w:r>
        <w:rPr>
          <w:highlight w:val="none"/>
        </w:rPr>
        <w:t xml:space="preserve"> </w:t>
      </w:r>
      <w:r/>
    </w:p>
    <w:p>
      <w:pPr>
        <w:ind w:firstLine="482"/>
        <w:keepLines w:val="0"/>
        <w:keepNext w:val="0"/>
        <w:pageBreakBefore w:val="0"/>
        <w:spacing w:line="500" w:lineRule="exact"/>
        <w:widowControl w:val="off"/>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t xml:space="preserve">一、定标原则</w:t>
      </w:r>
      <w:r/>
    </w:p>
    <w:p>
      <w:pPr>
        <w:ind w:firstLine="480"/>
        <w:keepLines w:val="0"/>
        <w:keepNext w:val="0"/>
        <w:pageBreakBefore w:val="0"/>
        <w:spacing w:line="500" w:lineRule="exact"/>
        <w:widowControl w:val="off"/>
        <w:rPr>
          <w:rFonts w:hint="eastAsia" w:ascii="宋体" w:hAnsi="宋体" w:eastAsia="宋体" w:cs="宋体"/>
          <w:color w:val="000000"/>
          <w:sz w:val="24"/>
          <w:szCs w:val="24"/>
          <w:highlight w:val="none"/>
        </w:rPr>
      </w:pPr>
      <w:r>
        <w:rPr>
          <w:rFonts w:hint="eastAsia" w:ascii="宋体" w:hAnsi="宋体" w:eastAsia="宋体" w:cs="宋体"/>
          <w:bCs/>
          <w:color w:val="000000"/>
          <w:sz w:val="24"/>
          <w:szCs w:val="24"/>
          <w:highlight w:val="none"/>
        </w:rPr>
        <w:t xml:space="preserve">本项目采用</w:t>
      </w:r>
      <w:r>
        <w:rPr>
          <w:rFonts w:hint="eastAsia" w:ascii="宋体" w:hAnsi="宋体" w:eastAsia="宋体" w:cs="宋体"/>
          <w:bCs/>
          <w:color w:val="000000"/>
          <w:sz w:val="24"/>
          <w:szCs w:val="24"/>
          <w:highlight w:val="none"/>
          <w:u w:val="single"/>
        </w:rPr>
        <w:t xml:space="preserve"> 综合评分 </w:t>
      </w:r>
      <w:r>
        <w:rPr>
          <w:rFonts w:hint="eastAsia" w:ascii="宋体" w:hAnsi="宋体" w:eastAsia="宋体" w:cs="宋体"/>
          <w:bCs/>
          <w:color w:val="000000"/>
          <w:sz w:val="24"/>
          <w:szCs w:val="24"/>
          <w:highlight w:val="none"/>
        </w:rPr>
        <w:t xml:space="preserve">法。</w:t>
      </w:r>
      <w:r>
        <w:rPr>
          <w:rFonts w:hint="eastAsia" w:ascii="宋体" w:hAnsi="宋体" w:eastAsia="宋体" w:cs="宋体"/>
          <w:color w:val="000000"/>
          <w:sz w:val="24"/>
          <w:szCs w:val="24"/>
          <w:highlight w:val="none"/>
        </w:rPr>
        <w:t xml:space="preserve">评标结果按评审后得分由高到低顺序排列。得分相同的，按投标报价由低到高顺序排列。得分且投标报价相同的，由评标委员会组织通过抽签的方式确定中标候选人的排序。投标文件满足招标文件全部实质性要求，且按照评审因素的量化指标评审得分最高的投标人为排名第一的中标候选人，本项目选取1名中标候选人。</w:t>
      </w:r>
      <w:r/>
    </w:p>
    <w:p>
      <w:pPr>
        <w:pStyle w:val="856"/>
        <w:ind w:firstLine="441"/>
        <w:keepLines w:val="0"/>
        <w:keepNext w:val="0"/>
        <w:pageBreakBefore w:val="0"/>
        <w:spacing w:beforeAutospacing="0" w:afterAutospacing="0" w:line="500" w:lineRule="exact"/>
        <w:widowControl w:val="off"/>
        <w:rPr>
          <w:rFonts w:hint="eastAsia" w:ascii="宋体" w:hAnsi="宋体" w:eastAsia="宋体" w:cs="宋体"/>
          <w:sz w:val="24"/>
          <w:szCs w:val="24"/>
          <w:highlight w:val="none"/>
        </w:rPr>
      </w:pPr>
      <w:r>
        <w:rPr>
          <w:rFonts w:hint="eastAsia" w:ascii="宋体" w:hAnsi="宋体" w:eastAsia="宋体" w:cs="宋体"/>
          <w:b/>
          <w:color w:val="000000"/>
          <w:sz w:val="24"/>
          <w:szCs w:val="24"/>
          <w:highlight w:val="none"/>
          <w:lang w:eastAsia="zh-CN"/>
        </w:rPr>
        <w:t xml:space="preserve">二、</w:t>
      </w:r>
      <w:r>
        <w:rPr>
          <w:rFonts w:hint="eastAsia" w:ascii="宋体" w:hAnsi="宋体" w:eastAsia="宋体" w:cs="宋体"/>
          <w:b/>
          <w:color w:val="000000"/>
          <w:sz w:val="24"/>
          <w:szCs w:val="24"/>
          <w:highlight w:val="none"/>
        </w:rPr>
        <w:t xml:space="preserve">政府采购政策功能落实</w:t>
      </w:r>
      <w:r/>
    </w:p>
    <w:p>
      <w:pPr>
        <w:ind w:firstLine="480"/>
        <w:jc w:val="both"/>
        <w:keepLines w:val="0"/>
        <w:keepNext w:val="0"/>
        <w:pageBreakBefore w:val="0"/>
        <w:spacing w:line="500" w:lineRule="exact"/>
        <w:widowControl w:val="off"/>
        <w:rPr>
          <w:rFonts w:hint="eastAsia" w:ascii="宋体" w:hAnsi="宋体" w:eastAsia="宋体" w:cs="Arial"/>
          <w:color w:val="auto"/>
          <w:sz w:val="24"/>
          <w:szCs w:val="20"/>
          <w:highlight w:val="none"/>
          <w:lang w:val="en-US" w:eastAsia="zh-CN" w:bidi="ar-SA"/>
        </w:rPr>
      </w:pPr>
      <w:r>
        <w:rPr>
          <w:rFonts w:hint="eastAsia" w:ascii="宋体" w:hAnsi="宋体" w:eastAsia="宋体" w:cs="Arial"/>
          <w:color w:val="auto"/>
          <w:sz w:val="24"/>
          <w:szCs w:val="20"/>
          <w:highlight w:val="none"/>
          <w:lang w:val="en-US" w:eastAsia="zh-CN" w:bidi="ar-SA"/>
        </w:rPr>
        <w:t xml:space="preserve">1、中小微型企业 </w:t>
      </w:r>
      <w:r/>
    </w:p>
    <w:p>
      <w:pPr>
        <w:ind w:firstLine="480"/>
        <w:jc w:val="both"/>
        <w:keepLines w:val="0"/>
        <w:keepNext w:val="0"/>
        <w:pageBreakBefore w:val="0"/>
        <w:spacing w:line="500" w:lineRule="exact"/>
        <w:widowControl w:val="off"/>
        <w:rPr>
          <w:rFonts w:hint="eastAsia" w:ascii="宋体" w:hAnsi="宋体" w:eastAsia="宋体" w:cs="Arial"/>
          <w:color w:val="auto"/>
          <w:sz w:val="24"/>
          <w:szCs w:val="20"/>
          <w:highlight w:val="none"/>
          <w:lang w:val="en-US" w:eastAsia="zh-CN" w:bidi="ar-SA"/>
        </w:rPr>
      </w:pPr>
      <w:r>
        <w:rPr>
          <w:rFonts w:hint="eastAsia" w:ascii="宋体" w:hAnsi="宋体" w:eastAsia="宋体" w:cs="Arial"/>
          <w:color w:val="auto"/>
          <w:sz w:val="24"/>
          <w:szCs w:val="20"/>
          <w:highlight w:val="none"/>
          <w:lang w:val="en-US" w:eastAsia="zh-CN" w:bidi="ar-SA"/>
        </w:rPr>
        <w:t xml:space="preserve">（1）因本项目为专门面向中小企业采购的项目，不再执行价格评审优惠的扶持政策，投标人必须属于中小微企业，提供中小企业声明函，否则作为无效标处理。 </w:t>
      </w:r>
      <w:r/>
    </w:p>
    <w:p>
      <w:pPr>
        <w:ind w:firstLine="480"/>
        <w:jc w:val="both"/>
        <w:keepLines w:val="0"/>
        <w:keepNext w:val="0"/>
        <w:pageBreakBefore w:val="0"/>
        <w:spacing w:line="500" w:lineRule="exact"/>
        <w:widowControl w:val="off"/>
        <w:rPr>
          <w:rFonts w:hint="eastAsia" w:ascii="宋体" w:hAnsi="宋体" w:eastAsia="宋体" w:cs="Arial"/>
          <w:color w:val="auto"/>
          <w:sz w:val="24"/>
          <w:szCs w:val="20"/>
          <w:highlight w:val="none"/>
          <w:lang w:val="en-US" w:eastAsia="zh-CN" w:bidi="ar-SA"/>
        </w:rPr>
      </w:pPr>
      <w:r>
        <w:rPr>
          <w:rFonts w:hint="eastAsia" w:ascii="宋体" w:hAnsi="宋体" w:eastAsia="宋体" w:cs="Arial"/>
          <w:color w:val="auto"/>
          <w:sz w:val="24"/>
          <w:szCs w:val="20"/>
          <w:highlight w:val="none"/>
          <w:lang w:val="en-US" w:eastAsia="zh-CN" w:bidi="ar-SA"/>
        </w:rPr>
        <w:t xml:space="preserve">（2）供应商需按照采购文件的要求提供相应的《企业声明函》。 </w:t>
      </w:r>
      <w:r/>
    </w:p>
    <w:p>
      <w:pPr>
        <w:ind w:firstLine="480"/>
        <w:jc w:val="both"/>
        <w:keepLines w:val="0"/>
        <w:keepNext w:val="0"/>
        <w:pageBreakBefore w:val="0"/>
        <w:spacing w:line="500" w:lineRule="exact"/>
        <w:widowControl w:val="off"/>
        <w:rPr>
          <w:rFonts w:hint="eastAsia" w:ascii="宋体" w:hAnsi="宋体" w:eastAsia="宋体" w:cs="Arial"/>
          <w:color w:val="auto"/>
          <w:sz w:val="24"/>
          <w:szCs w:val="20"/>
          <w:highlight w:val="none"/>
          <w:lang w:val="en-US" w:eastAsia="zh-CN" w:bidi="ar-SA"/>
        </w:rPr>
      </w:pPr>
      <w:r>
        <w:rPr>
          <w:rFonts w:hint="eastAsia" w:ascii="宋体" w:hAnsi="宋体" w:eastAsia="宋体" w:cs="Arial"/>
          <w:color w:val="auto"/>
          <w:sz w:val="24"/>
          <w:szCs w:val="20"/>
          <w:highlight w:val="none"/>
          <w:lang w:val="en-US" w:eastAsia="zh-CN" w:bidi="ar-SA"/>
        </w:rPr>
        <w:t xml:space="preserve">（3）企业标准请参照《关于印发中小企业划型标准规定的通知》（工信部联企业[2011]300号）文件规定自行填写。</w:t>
      </w:r>
      <w:r/>
    </w:p>
    <w:p>
      <w:pPr>
        <w:ind w:firstLine="480"/>
        <w:jc w:val="both"/>
        <w:keepLines w:val="0"/>
        <w:keepNext w:val="0"/>
        <w:pageBreakBefore w:val="0"/>
        <w:spacing w:line="500" w:lineRule="exact"/>
        <w:widowControl w:val="off"/>
        <w:rPr>
          <w:rFonts w:hint="eastAsia" w:ascii="宋体" w:hAnsi="宋体" w:eastAsia="宋体" w:cs="Arial"/>
          <w:color w:val="auto"/>
          <w:sz w:val="24"/>
          <w:szCs w:val="20"/>
          <w:highlight w:val="none"/>
          <w:lang w:val="en-US" w:eastAsia="zh-CN" w:bidi="ar-SA"/>
        </w:rPr>
      </w:pPr>
      <w:r>
        <w:rPr>
          <w:rFonts w:hint="eastAsia" w:ascii="宋体" w:hAnsi="宋体" w:eastAsia="宋体" w:cs="Arial"/>
          <w:color w:val="auto"/>
          <w:sz w:val="24"/>
          <w:szCs w:val="20"/>
          <w:highlight w:val="none"/>
          <w:lang w:val="en-US" w:eastAsia="zh-CN" w:bidi="ar-SA"/>
        </w:rPr>
        <w:t xml:space="preserve">（4）本项目属于《关于印发中小企业划型标准规定的通知》（工信部联企业[2011]300号）文件规定的工业。 </w:t>
      </w:r>
      <w:r/>
    </w:p>
    <w:p>
      <w:pPr>
        <w:ind w:firstLine="480"/>
        <w:jc w:val="both"/>
        <w:keepLines w:val="0"/>
        <w:keepNext w:val="0"/>
        <w:pageBreakBefore w:val="0"/>
        <w:spacing w:line="500" w:lineRule="exact"/>
        <w:widowControl w:val="off"/>
        <w:rPr>
          <w:rFonts w:hint="eastAsia" w:ascii="宋体" w:hAnsi="宋体" w:eastAsia="宋体" w:cs="Arial"/>
          <w:color w:val="auto"/>
          <w:sz w:val="24"/>
          <w:szCs w:val="20"/>
          <w:highlight w:val="none"/>
          <w:lang w:val="en-US" w:eastAsia="zh-CN" w:bidi="ar-SA"/>
        </w:rPr>
      </w:pPr>
      <w:r>
        <w:rPr>
          <w:rFonts w:hint="eastAsia" w:ascii="宋体" w:hAnsi="宋体" w:eastAsia="宋体" w:cs="Arial"/>
          <w:color w:val="auto"/>
          <w:sz w:val="24"/>
          <w:szCs w:val="20"/>
          <w:highlight w:val="none"/>
          <w:lang w:val="en-US" w:eastAsia="zh-CN" w:bidi="ar-SA"/>
        </w:rPr>
        <w:t xml:space="preserve">2、残疾人福利单位 </w:t>
      </w:r>
      <w:r/>
    </w:p>
    <w:p>
      <w:pPr>
        <w:ind w:firstLine="480"/>
        <w:keepLines w:val="0"/>
        <w:keepNext w:val="0"/>
        <w:pageBreakBefore w:val="0"/>
        <w:spacing w:line="500" w:lineRule="exact"/>
        <w:widowControl w:val="off"/>
        <w:rPr>
          <w:rFonts w:hint="eastAsia" w:ascii="宋体" w:hAnsi="宋体" w:eastAsia="宋体" w:cs="Arial"/>
          <w:color w:val="auto"/>
          <w:sz w:val="24"/>
          <w:szCs w:val="20"/>
          <w:highlight w:val="none"/>
          <w:lang w:val="en-US" w:eastAsia="zh-CN" w:bidi="ar-SA"/>
        </w:rPr>
      </w:pPr>
      <w:r>
        <w:rPr>
          <w:rFonts w:hint="eastAsia" w:ascii="宋体" w:hAnsi="宋体" w:eastAsia="宋体" w:cs="Arial"/>
          <w:color w:val="auto"/>
          <w:sz w:val="24"/>
          <w:szCs w:val="20"/>
          <w:highlight w:val="none"/>
          <w:lang w:val="en-US" w:eastAsia="zh-CN" w:bidi="ar-SA"/>
        </w:rPr>
        <w:t xml:space="preserve">（1）本项目对残疾人福利性单位视同小型、微型企业。</w:t>
      </w:r>
      <w:r/>
    </w:p>
    <w:p>
      <w:pPr>
        <w:ind w:firstLine="480"/>
        <w:keepLines w:val="0"/>
        <w:keepNext w:val="0"/>
        <w:pageBreakBefore w:val="0"/>
        <w:spacing w:line="500" w:lineRule="exact"/>
        <w:widowControl w:val="off"/>
        <w:rPr>
          <w:rFonts w:hint="eastAsia" w:ascii="宋体" w:hAnsi="宋体" w:eastAsia="宋体" w:cs="Arial"/>
          <w:color w:val="auto"/>
          <w:sz w:val="24"/>
          <w:szCs w:val="20"/>
          <w:highlight w:val="none"/>
          <w:lang w:val="en-US" w:eastAsia="zh-CN" w:bidi="ar-SA"/>
        </w:rPr>
      </w:pPr>
      <w:r>
        <w:rPr>
          <w:rFonts w:hint="eastAsia" w:ascii="宋体" w:hAnsi="宋体" w:eastAsia="宋体" w:cs="Arial"/>
          <w:color w:val="auto"/>
          <w:sz w:val="24"/>
          <w:szCs w:val="20"/>
          <w:highlight w:val="none"/>
          <w:lang w:val="en-US" w:eastAsia="zh-CN" w:bidi="ar-SA"/>
        </w:rPr>
        <w:t xml:space="preserve">（2）残疾人福利单位需按照采购文件的要求提供《残疾人福利性单位声明函》。</w:t>
      </w:r>
      <w:r/>
    </w:p>
    <w:p>
      <w:pPr>
        <w:ind w:firstLine="480"/>
        <w:jc w:val="both"/>
        <w:keepLines w:val="0"/>
        <w:keepNext w:val="0"/>
        <w:pageBreakBefore w:val="0"/>
        <w:spacing w:line="500" w:lineRule="exact"/>
        <w:widowControl w:val="off"/>
        <w:rPr>
          <w:rFonts w:hint="eastAsia" w:ascii="宋体" w:hAnsi="宋体" w:eastAsia="宋体" w:cs="Arial"/>
          <w:color w:val="auto"/>
          <w:sz w:val="24"/>
          <w:szCs w:val="20"/>
          <w:highlight w:val="none"/>
          <w:lang w:val="en-US" w:eastAsia="zh-CN" w:bidi="ar-SA"/>
        </w:rPr>
      </w:pPr>
      <w:r>
        <w:rPr>
          <w:rFonts w:hint="eastAsia" w:ascii="宋体" w:hAnsi="宋体" w:eastAsia="宋体" w:cs="Arial"/>
          <w:color w:val="auto"/>
          <w:sz w:val="24"/>
          <w:szCs w:val="20"/>
          <w:highlight w:val="none"/>
          <w:lang w:val="en-US" w:eastAsia="zh-CN" w:bidi="ar-SA"/>
        </w:rPr>
        <w:t xml:space="preserve">（3）残疾人福利单位标准请参照《关于促进残疾人就业政府采购政策的通知》（财库〔2017〕141号）。 </w:t>
      </w:r>
      <w:r/>
    </w:p>
    <w:p>
      <w:pPr>
        <w:ind w:firstLine="480"/>
        <w:jc w:val="both"/>
        <w:keepLines w:val="0"/>
        <w:keepNext w:val="0"/>
        <w:pageBreakBefore w:val="0"/>
        <w:spacing w:line="500" w:lineRule="exact"/>
        <w:widowControl w:val="off"/>
        <w:rPr>
          <w:rFonts w:hint="eastAsia" w:ascii="宋体" w:hAnsi="宋体" w:eastAsia="宋体" w:cs="Arial"/>
          <w:color w:val="auto"/>
          <w:sz w:val="24"/>
          <w:szCs w:val="20"/>
          <w:highlight w:val="none"/>
          <w:lang w:val="en-US" w:eastAsia="zh-CN" w:bidi="ar-SA"/>
        </w:rPr>
      </w:pPr>
      <w:r>
        <w:rPr>
          <w:rFonts w:hint="eastAsia" w:ascii="宋体" w:hAnsi="宋体" w:eastAsia="宋体" w:cs="Arial"/>
          <w:color w:val="auto"/>
          <w:sz w:val="24"/>
          <w:szCs w:val="20"/>
          <w:highlight w:val="none"/>
          <w:lang w:val="en-US" w:eastAsia="zh-CN" w:bidi="ar-SA"/>
        </w:rPr>
        <w:t xml:space="preserve">3、监狱和戒毒企业 </w:t>
      </w:r>
      <w:r/>
    </w:p>
    <w:p>
      <w:pPr>
        <w:ind w:firstLine="480"/>
        <w:jc w:val="both"/>
        <w:keepLines w:val="0"/>
        <w:keepNext w:val="0"/>
        <w:pageBreakBefore w:val="0"/>
        <w:spacing w:line="500" w:lineRule="exact"/>
        <w:widowControl w:val="off"/>
        <w:rPr>
          <w:rFonts w:hint="eastAsia" w:ascii="宋体" w:hAnsi="宋体" w:eastAsia="宋体" w:cs="Arial"/>
          <w:color w:val="auto"/>
          <w:sz w:val="24"/>
          <w:szCs w:val="20"/>
          <w:highlight w:val="none"/>
          <w:lang w:val="en-US" w:eastAsia="zh-CN" w:bidi="ar-SA"/>
        </w:rPr>
      </w:pPr>
      <w:r>
        <w:rPr>
          <w:rFonts w:hint="eastAsia" w:ascii="宋体" w:hAnsi="宋体" w:eastAsia="宋体" w:cs="Arial"/>
          <w:color w:val="auto"/>
          <w:sz w:val="24"/>
          <w:szCs w:val="20"/>
          <w:highlight w:val="none"/>
          <w:lang w:val="en-US" w:eastAsia="zh-CN" w:bidi="ar-SA"/>
        </w:rPr>
        <w:t xml:space="preserve">（1）本项目对监狱和戒毒企业（简称监狱企业）视同小型、微型企业。 </w:t>
      </w:r>
      <w:r/>
    </w:p>
    <w:p>
      <w:pPr>
        <w:ind w:firstLine="480"/>
        <w:jc w:val="both"/>
        <w:keepLines w:val="0"/>
        <w:keepNext w:val="0"/>
        <w:pageBreakBefore w:val="0"/>
        <w:spacing w:line="500" w:lineRule="exact"/>
        <w:widowControl w:val="off"/>
        <w:rPr>
          <w:rFonts w:hint="eastAsia" w:ascii="宋体" w:hAnsi="宋体" w:eastAsia="宋体" w:cs="Arial"/>
          <w:color w:val="auto"/>
          <w:sz w:val="24"/>
          <w:szCs w:val="20"/>
          <w:highlight w:val="none"/>
          <w:lang w:val="en-US" w:eastAsia="zh-CN" w:bidi="ar-SA"/>
        </w:rPr>
      </w:pPr>
      <w:r>
        <w:rPr>
          <w:rFonts w:hint="eastAsia" w:ascii="宋体" w:hAnsi="宋体" w:eastAsia="宋体" w:cs="Arial"/>
          <w:color w:val="auto"/>
          <w:sz w:val="24"/>
          <w:szCs w:val="20"/>
          <w:highlight w:val="none"/>
          <w:lang w:val="en-US" w:eastAsia="zh-CN" w:bidi="ar-SA"/>
        </w:rPr>
        <w:t xml:space="preserve">（2）监狱企业参加政府采购活动时，需提供由省级以上监狱管理局、戒毒管理局(含新疆生产建设兵团)出具的属于监狱企业的证明文件。 </w:t>
      </w:r>
      <w:r/>
    </w:p>
    <w:p>
      <w:pPr>
        <w:ind w:firstLine="480"/>
        <w:jc w:val="both"/>
        <w:keepLines w:val="0"/>
        <w:keepNext w:val="0"/>
        <w:pageBreakBefore w:val="0"/>
        <w:spacing w:line="500" w:lineRule="exact"/>
        <w:widowControl w:val="off"/>
        <w:rPr>
          <w:rFonts w:hint="eastAsia" w:ascii="宋体" w:hAnsi="宋体" w:eastAsia="宋体" w:cs="Arial"/>
          <w:color w:val="auto"/>
          <w:sz w:val="24"/>
          <w:szCs w:val="20"/>
          <w:highlight w:val="none"/>
          <w:lang w:val="en-US" w:eastAsia="zh-CN" w:bidi="ar-SA"/>
        </w:rPr>
      </w:pPr>
      <w:r>
        <w:rPr>
          <w:rFonts w:hint="eastAsia" w:ascii="宋体" w:hAnsi="宋体" w:eastAsia="宋体" w:cs="Arial"/>
          <w:color w:val="auto"/>
          <w:sz w:val="24"/>
          <w:szCs w:val="20"/>
          <w:highlight w:val="none"/>
          <w:lang w:val="en-US" w:eastAsia="zh-CN" w:bidi="ar-SA"/>
        </w:rPr>
        <w:t xml:space="preserve">（3）监狱企业标准请参照《关于政府采购支持监狱企业发展有关问题的通知》（财库[2014]68号）。 </w:t>
      </w:r>
      <w:r/>
    </w:p>
    <w:p>
      <w:pPr>
        <w:ind w:firstLine="480"/>
        <w:jc w:val="both"/>
        <w:keepLines w:val="0"/>
        <w:keepNext w:val="0"/>
        <w:pageBreakBefore w:val="0"/>
        <w:spacing w:line="500" w:lineRule="exact"/>
        <w:widowControl w:val="off"/>
        <w:rPr>
          <w:rFonts w:hint="eastAsia" w:ascii="宋体" w:hAnsi="宋体" w:eastAsia="宋体" w:cs="宋体"/>
          <w:sz w:val="24"/>
          <w:szCs w:val="24"/>
          <w:highlight w:val="none"/>
        </w:rPr>
      </w:pPr>
      <w:r>
        <w:rPr>
          <w:rFonts w:hint="eastAsia" w:ascii="宋体" w:hAnsi="宋体" w:eastAsia="宋体" w:cs="Arial"/>
          <w:color w:val="auto"/>
          <w:sz w:val="24"/>
          <w:szCs w:val="20"/>
          <w:highlight w:val="none"/>
          <w:lang w:val="en-US" w:eastAsia="zh-CN" w:bidi="ar-SA"/>
        </w:rPr>
        <w:t xml:space="preserve">4、残疾人福利单位、监狱企业属于小型、微型企业的，不重复享受政策。 </w:t>
      </w:r>
      <w:r/>
    </w:p>
    <w:p>
      <w:pPr>
        <w:ind w:firstLine="480"/>
        <w:keepLines w:val="0"/>
        <w:keepNext w:val="0"/>
        <w:pageBreakBefore w:val="0"/>
        <w:spacing w:line="500" w:lineRule="exact"/>
        <w:widowControl w:val="off"/>
        <w:rPr>
          <w:rFonts w:ascii="宋体" w:hAnsi="宋体" w:eastAsia="宋体" w:cs="宋体"/>
          <w:color w:val="auto"/>
          <w:sz w:val="24"/>
          <w:highlight w:val="none"/>
        </w:rPr>
      </w:pPr>
      <w:r>
        <w:rPr>
          <w:rFonts w:hint="eastAsia" w:ascii="宋体" w:hAnsi="宋体" w:eastAsia="宋体" w:cs="宋体"/>
          <w:color w:val="000000"/>
          <w:sz w:val="24"/>
          <w:szCs w:val="24"/>
          <w:highlight w:val="none"/>
        </w:rPr>
        <w:t xml:space="preserve">5、</w:t>
      </w:r>
      <w:r>
        <w:rPr>
          <w:rFonts w:hint="eastAsia" w:ascii="宋体" w:hAnsi="宋体" w:eastAsia="宋体" w:cs="宋体"/>
          <w:color w:val="auto"/>
          <w:sz w:val="24"/>
          <w:highlight w:val="none"/>
        </w:rPr>
        <w:t xml:space="preserve">严格执行政府采购关于支持节能产品、环境标志产品的相关政策规定。如本次采购的产品属于财政部、国家发展改革委、生态环境部、市场监管总局等部门发布的节能产品、环境标志产品品目清单政府强制采购范围的，供应商必须在响应文件中提供所投产品的相关证书(由国家确定的认证机构出具的、处于有效期之内的节能产品、环境标志产品认证证书)。节能产品、环境标志产品品目清单以递交响应文件截止时已正式公布的最近一期信息为准，</w:t>
      </w:r>
      <w:r>
        <w:rPr>
          <w:rFonts w:hint="eastAsia" w:ascii="宋体" w:hAnsi="宋体" w:eastAsia="宋体" w:cs="宋体"/>
          <w:b/>
          <w:i/>
          <w:color w:val="auto"/>
          <w:sz w:val="24"/>
          <w:highlight w:val="none"/>
        </w:rPr>
        <w:t xml:space="preserve">如属政府强制采购产品未提供认证证书的或认证证书提供不全的将视为未实质性响应采购要求</w:t>
      </w:r>
      <w:r>
        <w:rPr>
          <w:rFonts w:hint="eastAsia" w:ascii="宋体" w:hAnsi="宋体" w:eastAsia="宋体" w:cs="宋体"/>
          <w:i/>
          <w:color w:val="auto"/>
          <w:sz w:val="24"/>
          <w:highlight w:val="none"/>
        </w:rPr>
        <w:t xml:space="preserve">。</w:t>
      </w:r>
      <w:r>
        <w:rPr>
          <w:rFonts w:hint="eastAsia" w:ascii="宋体" w:hAnsi="宋体" w:eastAsia="宋体" w:cs="宋体"/>
          <w:color w:val="auto"/>
          <w:sz w:val="24"/>
          <w:highlight w:val="none"/>
        </w:rPr>
        <w:t xml:space="preserve">其他条件相同情况下，应当优先采购节能产品、环境标志产品。</w:t>
      </w:r>
      <w:r/>
    </w:p>
    <w:p>
      <w:pPr>
        <w:ind w:firstLine="480"/>
        <w:keepLines w:val="0"/>
        <w:keepNext w:val="0"/>
        <w:pageBreakBefore w:val="0"/>
        <w:spacing w:line="500" w:lineRule="exact"/>
        <w:widowControl w:val="off"/>
        <w:rPr>
          <w:rFonts w:ascii="宋体" w:hAnsi="宋体" w:eastAsia="宋体" w:cs="宋体"/>
          <w:color w:val="auto"/>
          <w:sz w:val="24"/>
          <w:highlight w:val="none"/>
        </w:rPr>
      </w:pPr>
      <w:r>
        <w:rPr>
          <w:rFonts w:hint="eastAsia" w:ascii="宋体" w:hAnsi="宋体" w:eastAsia="宋体" w:cs="宋体"/>
          <w:color w:val="auto"/>
          <w:sz w:val="24"/>
          <w:highlight w:val="none"/>
          <w:lang w:val="en-US" w:eastAsia="zh-CN"/>
        </w:rPr>
        <w:t xml:space="preserve">6</w:t>
      </w:r>
      <w:r>
        <w:rPr>
          <w:rFonts w:hint="eastAsia" w:ascii="宋体" w:hAnsi="宋体" w:eastAsia="宋体" w:cs="宋体"/>
          <w:color w:val="auto"/>
          <w:sz w:val="24"/>
          <w:highlight w:val="none"/>
        </w:rPr>
        <w:t xml:space="preserve">、供应商对于投标产品的商品包装、快递包装应按照“财办库〔2020〕123号《关于印发《商品包装政府采购需求标准（试行）》、《快递包装政府采购需求标准（试行）》的通知》”执行。</w:t>
      </w:r>
      <w:r/>
    </w:p>
    <w:p>
      <w:pPr>
        <w:ind w:firstLine="480"/>
        <w:keepLines w:val="0"/>
        <w:keepNext w:val="0"/>
        <w:pageBreakBefore w:val="0"/>
        <w:spacing w:line="500" w:lineRule="exact"/>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lang w:val="en-US" w:eastAsia="zh-CN"/>
        </w:rPr>
        <w:t xml:space="preserve">7</w:t>
      </w:r>
      <w:r>
        <w:rPr>
          <w:rFonts w:hint="eastAsia" w:ascii="宋体" w:hAnsi="宋体" w:eastAsia="宋体" w:cs="宋体"/>
          <w:color w:val="auto"/>
          <w:sz w:val="24"/>
          <w:highlight w:val="none"/>
        </w:rPr>
        <w:t xml:space="preserve">、本文件中若涉及到数据中心采购，应按照《&lt;绿色数据中心政府采购需求标准（试行）&gt;的通知》（财库〔2023〕7号）执行。</w:t>
      </w:r>
      <w:r/>
    </w:p>
    <w:p>
      <w:pPr>
        <w:ind w:firstLine="482"/>
        <w:jc w:val="left"/>
        <w:keepLines w:val="0"/>
        <w:keepNext w:val="0"/>
        <w:pageBreakBefore w:val="0"/>
        <w:spacing w:after="157" w:line="480" w:lineRule="exact"/>
        <w:widowControl w:val="off"/>
        <w:rPr>
          <w:rFonts w:hint="eastAsia" w:ascii="宋体" w:hAnsi="宋体" w:cs="宋体"/>
          <w:b/>
          <w:bCs/>
          <w:sz w:val="24"/>
          <w:szCs w:val="24"/>
        </w:rPr>
      </w:pPr>
      <w:r>
        <w:rPr>
          <w:rFonts w:hint="eastAsia" w:ascii="宋体" w:hAnsi="宋体" w:cs="宋体"/>
          <w:b/>
          <w:bCs/>
          <w:sz w:val="24"/>
          <w:szCs w:val="24"/>
          <w:lang w:eastAsia="zh-CN"/>
        </w:rPr>
        <w:t xml:space="preserve">三、</w:t>
      </w:r>
      <w:r>
        <w:rPr>
          <w:rFonts w:hint="eastAsia" w:ascii="宋体" w:hAnsi="宋体" w:cs="宋体"/>
          <w:b/>
          <w:bCs/>
          <w:sz w:val="24"/>
          <w:szCs w:val="24"/>
        </w:rPr>
        <w:t xml:space="preserve">评标方法与评标标准（100分）</w:t>
      </w:r>
      <w:r/>
    </w:p>
    <w:tbl>
      <w:tblPr>
        <w:tblStyle w:val="859"/>
        <w:tblW w:w="8784"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427"/>
        <w:gridCol w:w="1553"/>
        <w:gridCol w:w="709"/>
        <w:gridCol w:w="6095"/>
      </w:tblGrid>
      <w:tr>
        <w:trPr>
          <w:jc w:val="center"/>
          <w:trHeight w:val="974"/>
        </w:trPr>
        <w:tc>
          <w:tcPr>
            <w:tcW w:w="427" w:type="dxa"/>
            <w:vAlign w:val="center"/>
            <w:textDirection w:val="lrTb"/>
            <w:noWrap w:val="false"/>
          </w:tcPr>
          <w:p>
            <w:pPr>
              <w:jc w:val="center"/>
              <w:keepLines w:val="0"/>
              <w:keepNext w:val="0"/>
              <w:pageBreakBefore w:val="0"/>
              <w:spacing w:before="62" w:after="62" w:line="340" w:lineRule="exact"/>
              <w:widowControl w:val="off"/>
              <w:rPr>
                <w:rFonts w:hint="default" w:ascii="Times New Roman" w:hAnsi="Times New Roman" w:eastAsia="宋体" w:cs="Times New Roman"/>
                <w:b/>
                <w:bCs/>
                <w:sz w:val="21"/>
                <w:szCs w:val="21"/>
              </w:rPr>
            </w:pPr>
            <w:r>
              <w:rPr>
                <w:rFonts w:hint="default" w:ascii="Times New Roman" w:hAnsi="Times New Roman" w:eastAsia="宋体" w:cs="Times New Roman"/>
                <w:b/>
                <w:bCs/>
                <w:sz w:val="21"/>
                <w:szCs w:val="21"/>
              </w:rPr>
              <w:t xml:space="preserve">序号</w:t>
            </w:r>
            <w:r/>
          </w:p>
        </w:tc>
        <w:tc>
          <w:tcPr>
            <w:tcW w:w="1553" w:type="dxa"/>
            <w:vAlign w:val="center"/>
            <w:textDirection w:val="lrTb"/>
            <w:noWrap w:val="false"/>
          </w:tcPr>
          <w:p>
            <w:pPr>
              <w:jc w:val="center"/>
              <w:keepLines w:val="0"/>
              <w:keepNext w:val="0"/>
              <w:pageBreakBefore w:val="0"/>
              <w:spacing w:before="62" w:after="62" w:line="340" w:lineRule="exact"/>
              <w:widowControl w:val="off"/>
              <w:rPr>
                <w:rFonts w:hint="default" w:ascii="Times New Roman" w:hAnsi="Times New Roman" w:eastAsia="宋体" w:cs="Times New Roman"/>
                <w:b/>
                <w:bCs/>
                <w:sz w:val="21"/>
                <w:szCs w:val="21"/>
              </w:rPr>
            </w:pPr>
            <w:r>
              <w:rPr>
                <w:rFonts w:hint="default" w:ascii="Times New Roman" w:hAnsi="Times New Roman" w:eastAsia="宋体" w:cs="Times New Roman"/>
                <w:b/>
                <w:bCs/>
                <w:sz w:val="21"/>
                <w:szCs w:val="21"/>
              </w:rPr>
              <w:t xml:space="preserve">评分项目</w:t>
            </w:r>
            <w:r/>
          </w:p>
        </w:tc>
        <w:tc>
          <w:tcPr>
            <w:tcW w:w="709" w:type="dxa"/>
            <w:vAlign w:val="center"/>
            <w:textDirection w:val="lrTb"/>
            <w:noWrap w:val="false"/>
          </w:tcPr>
          <w:p>
            <w:pPr>
              <w:jc w:val="center"/>
              <w:keepLines w:val="0"/>
              <w:keepNext w:val="0"/>
              <w:pageBreakBefore w:val="0"/>
              <w:spacing w:before="62" w:after="62" w:line="340" w:lineRule="exact"/>
              <w:widowControl w:val="off"/>
              <w:rPr>
                <w:rFonts w:hint="default" w:ascii="Times New Roman" w:hAnsi="Times New Roman" w:eastAsia="宋体" w:cs="Times New Roman"/>
                <w:b/>
                <w:bCs/>
                <w:sz w:val="21"/>
                <w:szCs w:val="21"/>
              </w:rPr>
            </w:pPr>
            <w:r>
              <w:rPr>
                <w:rFonts w:hint="default" w:ascii="Times New Roman" w:hAnsi="Times New Roman" w:eastAsia="宋体" w:cs="Times New Roman"/>
                <w:b/>
                <w:bCs/>
                <w:sz w:val="21"/>
                <w:szCs w:val="21"/>
              </w:rPr>
              <w:t xml:space="preserve">满分分值</w:t>
            </w:r>
            <w:r/>
          </w:p>
        </w:tc>
        <w:tc>
          <w:tcPr>
            <w:tcW w:w="6095" w:type="dxa"/>
            <w:vAlign w:val="center"/>
            <w:textDirection w:val="lrTb"/>
            <w:noWrap w:val="false"/>
          </w:tcPr>
          <w:p>
            <w:pPr>
              <w:jc w:val="center"/>
              <w:keepLines w:val="0"/>
              <w:keepNext w:val="0"/>
              <w:pageBreakBefore w:val="0"/>
              <w:spacing w:before="62" w:after="62" w:line="340" w:lineRule="exact"/>
              <w:widowControl w:val="off"/>
              <w:rPr>
                <w:rFonts w:hint="default" w:ascii="Times New Roman" w:hAnsi="Times New Roman" w:eastAsia="宋体" w:cs="Times New Roman"/>
                <w:b/>
                <w:bCs/>
                <w:sz w:val="21"/>
                <w:szCs w:val="21"/>
              </w:rPr>
            </w:pPr>
            <w:r>
              <w:rPr>
                <w:rFonts w:hint="default" w:ascii="Times New Roman" w:hAnsi="Times New Roman" w:eastAsia="宋体" w:cs="Times New Roman"/>
                <w:b/>
                <w:bCs/>
                <w:sz w:val="21"/>
                <w:szCs w:val="21"/>
              </w:rPr>
              <w:t xml:space="preserve">评分标准</w:t>
            </w:r>
            <w:r/>
          </w:p>
        </w:tc>
      </w:tr>
      <w:tr>
        <w:trPr>
          <w:jc w:val="center"/>
          <w:trHeight w:val="2330"/>
        </w:trPr>
        <w:tc>
          <w:tcPr>
            <w:tcW w:w="427" w:type="dxa"/>
            <w:vAlign w:val="center"/>
            <w:textDirection w:val="lrTb"/>
            <w:noWrap w:val="false"/>
          </w:tcPr>
          <w:p>
            <w:pPr>
              <w:jc w:val="center"/>
              <w:keepLines w:val="0"/>
              <w:keepNext w:val="0"/>
              <w:pageBreakBefore w:val="0"/>
              <w:spacing w:before="62" w:after="62" w:line="340" w:lineRule="exact"/>
              <w:widowControl w:val="off"/>
              <w:rPr>
                <w:rFonts w:hint="default" w:ascii="Times New Roman" w:hAnsi="Times New Roman" w:eastAsia="宋体" w:cs="Times New Roman"/>
                <w:sz w:val="21"/>
                <w:szCs w:val="21"/>
              </w:rPr>
            </w:pPr>
            <w:r>
              <w:rPr>
                <w:rFonts w:hint="default" w:ascii="Times New Roman" w:hAnsi="Times New Roman" w:eastAsia="宋体" w:cs="Times New Roman"/>
                <w:sz w:val="21"/>
                <w:szCs w:val="21"/>
              </w:rPr>
              <w:t xml:space="preserve">1</w:t>
            </w:r>
            <w:r/>
          </w:p>
        </w:tc>
        <w:tc>
          <w:tcPr>
            <w:tcW w:w="1553" w:type="dxa"/>
            <w:vAlign w:val="center"/>
            <w:textDirection w:val="lrTb"/>
            <w:noWrap w:val="false"/>
          </w:tcPr>
          <w:p>
            <w:pPr>
              <w:jc w:val="center"/>
              <w:keepLines w:val="0"/>
              <w:keepNext w:val="0"/>
              <w:pageBreakBefore w:val="0"/>
              <w:spacing w:before="62" w:after="62" w:line="340" w:lineRule="exact"/>
              <w:widowControl w:val="off"/>
              <w:rPr>
                <w:rFonts w:hint="default" w:ascii="Times New Roman" w:hAnsi="Times New Roman" w:eastAsia="宋体" w:cs="Times New Roman"/>
                <w:sz w:val="21"/>
                <w:szCs w:val="21"/>
              </w:rPr>
            </w:pPr>
            <w:r>
              <w:rPr>
                <w:rFonts w:hint="default" w:ascii="Times New Roman" w:hAnsi="Times New Roman" w:eastAsia="宋体" w:cs="Times New Roman"/>
                <w:sz w:val="21"/>
                <w:szCs w:val="21"/>
              </w:rPr>
              <w:t xml:space="preserve">投标报价</w:t>
            </w:r>
            <w:r/>
          </w:p>
        </w:tc>
        <w:tc>
          <w:tcPr>
            <w:tcW w:w="709" w:type="dxa"/>
            <w:vAlign w:val="center"/>
            <w:textDirection w:val="lrTb"/>
            <w:noWrap w:val="false"/>
          </w:tcPr>
          <w:p>
            <w:pPr>
              <w:jc w:val="center"/>
              <w:keepLines w:val="0"/>
              <w:keepNext w:val="0"/>
              <w:pageBreakBefore w:val="0"/>
              <w:spacing w:before="62" w:after="62" w:line="340" w:lineRule="exact"/>
              <w:widowControl w:val="off"/>
              <w:rPr>
                <w:rFonts w:hint="default" w:ascii="Times New Roman" w:hAnsi="Times New Roman" w:eastAsia="宋体" w:cs="Times New Roman"/>
                <w:sz w:val="21"/>
                <w:szCs w:val="21"/>
              </w:rPr>
            </w:pPr>
            <w:r>
              <w:rPr>
                <w:rFonts w:hint="default" w:ascii="Times New Roman" w:hAnsi="Times New Roman" w:eastAsia="宋体" w:cs="Times New Roman"/>
                <w:sz w:val="21"/>
                <w:szCs w:val="21"/>
              </w:rPr>
              <w:t xml:space="preserve">30</w:t>
            </w:r>
            <w:r/>
          </w:p>
        </w:tc>
        <w:tc>
          <w:tcPr>
            <w:tcW w:w="6095" w:type="dxa"/>
            <w:vAlign w:val="center"/>
            <w:textDirection w:val="lrTb"/>
            <w:noWrap w:val="false"/>
          </w:tcPr>
          <w:p>
            <w:pPr>
              <w:keepLines w:val="0"/>
              <w:keepNext w:val="0"/>
              <w:pageBreakBefore w:val="0"/>
              <w:spacing w:before="62" w:after="62" w:line="340" w:lineRule="exact"/>
              <w:widowControl w:val="off"/>
              <w:rPr>
                <w:rFonts w:hint="default" w:ascii="Times New Roman" w:hAnsi="Times New Roman" w:eastAsia="宋体" w:cs="Times New Roman"/>
                <w:sz w:val="21"/>
                <w:szCs w:val="21"/>
              </w:rPr>
            </w:pPr>
            <w:r>
              <w:rPr>
                <w:rFonts w:hint="default" w:ascii="Times New Roman" w:hAnsi="Times New Roman" w:eastAsia="宋体" w:cs="Times New Roman"/>
                <w:sz w:val="21"/>
                <w:szCs w:val="21"/>
              </w:rPr>
              <w:t xml:space="preserve">本项目采用低价优先法计算，即满足招标文件要求且投标价格最低的投标报价为评标基准价，其价格分为满分30分。</w:t>
            </w:r>
            <w:r/>
          </w:p>
          <w:p>
            <w:pPr>
              <w:keepLines w:val="0"/>
              <w:keepNext w:val="0"/>
              <w:pageBreakBefore w:val="0"/>
              <w:spacing w:before="62" w:after="62" w:line="340" w:lineRule="exact"/>
              <w:widowControl w:val="off"/>
              <w:rPr>
                <w:rFonts w:hint="default" w:ascii="Times New Roman" w:hAnsi="Times New Roman" w:eastAsia="宋体" w:cs="Times New Roman"/>
                <w:sz w:val="21"/>
                <w:szCs w:val="21"/>
              </w:rPr>
            </w:pPr>
            <w:r>
              <w:rPr>
                <w:rFonts w:hint="default" w:ascii="Times New Roman" w:hAnsi="Times New Roman" w:eastAsia="宋体" w:cs="Times New Roman"/>
                <w:sz w:val="21"/>
                <w:szCs w:val="21"/>
              </w:rPr>
              <w:t xml:space="preserve">其他投标人的价格分统一按照下列公式计算：投标报价得分=(评标基准价／投标报价)×30（按四舍五入取至小数点后两位）。</w:t>
            </w:r>
            <w:r/>
          </w:p>
        </w:tc>
      </w:tr>
      <w:tr>
        <w:trPr>
          <w:jc w:val="center"/>
          <w:trHeight w:val="1589"/>
        </w:trPr>
        <w:tc>
          <w:tcPr>
            <w:tcW w:w="427" w:type="dxa"/>
            <w:vAlign w:val="center"/>
            <w:textDirection w:val="lrTb"/>
            <w:noWrap w:val="false"/>
          </w:tcPr>
          <w:p>
            <w:pPr>
              <w:jc w:val="center"/>
              <w:keepLines w:val="0"/>
              <w:keepNext w:val="0"/>
              <w:pageBreakBefore w:val="0"/>
              <w:spacing w:before="62" w:after="62" w:line="340" w:lineRule="exact"/>
              <w:widowControl w:val="off"/>
              <w:rPr>
                <w:rFonts w:hint="default" w:ascii="Times New Roman" w:hAnsi="Times New Roman" w:eastAsia="宋体" w:cs="Times New Roman"/>
                <w:sz w:val="21"/>
                <w:szCs w:val="21"/>
              </w:rPr>
            </w:pPr>
            <w:r>
              <w:rPr>
                <w:rFonts w:hint="default" w:ascii="Times New Roman" w:hAnsi="Times New Roman" w:eastAsia="宋体" w:cs="Times New Roman"/>
                <w:sz w:val="21"/>
                <w:szCs w:val="21"/>
              </w:rPr>
              <w:t xml:space="preserve">2</w:t>
            </w:r>
            <w:r/>
          </w:p>
        </w:tc>
        <w:tc>
          <w:tcPr>
            <w:tcW w:w="1553" w:type="dxa"/>
            <w:vAlign w:val="center"/>
            <w:textDirection w:val="lrTb"/>
            <w:noWrap w:val="false"/>
          </w:tcPr>
          <w:p>
            <w:pPr>
              <w:jc w:val="center"/>
              <w:keepLines w:val="0"/>
              <w:keepNext w:val="0"/>
              <w:pageBreakBefore w:val="0"/>
              <w:spacing w:before="62" w:after="62" w:line="340" w:lineRule="exact"/>
              <w:widowControl w:val="off"/>
              <w:rPr>
                <w:rFonts w:hint="default" w:ascii="Times New Roman" w:hAnsi="Times New Roman" w:eastAsia="宋体" w:cs="Times New Roman"/>
                <w:sz w:val="21"/>
                <w:szCs w:val="21"/>
              </w:rPr>
            </w:pPr>
            <w:r>
              <w:rPr>
                <w:rFonts w:hint="default" w:ascii="Times New Roman" w:hAnsi="Times New Roman" w:eastAsia="宋体" w:cs="Times New Roman"/>
                <w:sz w:val="21"/>
                <w:szCs w:val="21"/>
              </w:rPr>
              <w:t xml:space="preserve">类似业绩</w:t>
            </w:r>
            <w:r/>
          </w:p>
        </w:tc>
        <w:tc>
          <w:tcPr>
            <w:tcW w:w="709" w:type="dxa"/>
            <w:vAlign w:val="center"/>
            <w:textDirection w:val="lrTb"/>
            <w:noWrap w:val="false"/>
          </w:tcPr>
          <w:p>
            <w:pPr>
              <w:jc w:val="center"/>
              <w:keepLines w:val="0"/>
              <w:keepNext w:val="0"/>
              <w:pageBreakBefore w:val="0"/>
              <w:spacing w:before="62" w:after="62" w:line="340" w:lineRule="exact"/>
              <w:widowControl w:val="off"/>
              <w:rPr>
                <w:rFonts w:hint="default" w:ascii="Times New Roman" w:hAnsi="Times New Roman" w:eastAsia="宋体" w:cs="Times New Roman"/>
                <w:sz w:val="21"/>
                <w:szCs w:val="21"/>
                <w:lang w:val="en-US" w:eastAsia="zh-CN"/>
              </w:rPr>
            </w:pPr>
            <w:r>
              <w:rPr>
                <w:rFonts w:hint="default" w:ascii="Times New Roman" w:hAnsi="Times New Roman" w:eastAsia="宋体" w:cs="Times New Roman"/>
                <w:sz w:val="21"/>
                <w:szCs w:val="21"/>
                <w:lang w:val="en-US" w:eastAsia="zh-CN"/>
              </w:rPr>
              <w:t xml:space="preserve">6</w:t>
            </w:r>
            <w:r/>
          </w:p>
        </w:tc>
        <w:tc>
          <w:tcPr>
            <w:tcW w:w="6095" w:type="dxa"/>
            <w:vAlign w:val="center"/>
            <w:textDirection w:val="lrTb"/>
            <w:noWrap w:val="false"/>
          </w:tcPr>
          <w:p>
            <w:pPr>
              <w:keepLines w:val="0"/>
              <w:keepNext w:val="0"/>
              <w:pageBreakBefore w:val="0"/>
              <w:spacing w:before="62" w:after="62" w:line="340" w:lineRule="exact"/>
              <w:widowControl w:val="off"/>
              <w:rPr>
                <w:rFonts w:hint="default" w:ascii="Times New Roman" w:hAnsi="Times New Roman" w:eastAsia="宋体" w:cs="Times New Roman"/>
                <w:sz w:val="21"/>
                <w:szCs w:val="21"/>
              </w:rPr>
            </w:pPr>
            <w:r>
              <w:rPr>
                <w:rFonts w:hint="default" w:ascii="Times New Roman" w:hAnsi="Times New Roman" w:eastAsia="宋体" w:cs="Times New Roman"/>
                <w:color w:val="000000"/>
                <w:sz w:val="21"/>
                <w:szCs w:val="21"/>
              </w:rPr>
              <w:t xml:space="preserve">投标人自202</w:t>
            </w:r>
            <w:r>
              <w:rPr>
                <w:rFonts w:hint="default" w:ascii="Times New Roman" w:hAnsi="Times New Roman" w:eastAsia="宋体" w:cs="Times New Roman"/>
                <w:color w:val="000000"/>
                <w:sz w:val="21"/>
                <w:szCs w:val="21"/>
                <w:lang w:val="en-US" w:eastAsia="zh-CN"/>
              </w:rPr>
              <w:t xml:space="preserve">2</w:t>
            </w:r>
            <w:r>
              <w:rPr>
                <w:rFonts w:hint="default" w:ascii="Times New Roman" w:hAnsi="Times New Roman" w:eastAsia="宋体" w:cs="Times New Roman"/>
                <w:color w:val="000000"/>
                <w:sz w:val="21"/>
                <w:szCs w:val="21"/>
              </w:rPr>
              <w:t xml:space="preserve">年1月1日以来，承接</w:t>
            </w:r>
            <w:r>
              <w:rPr>
                <w:rFonts w:hint="eastAsia" w:ascii="Times New Roman" w:hAnsi="Times New Roman" w:eastAsia="宋体" w:cs="Times New Roman"/>
                <w:color w:val="000000"/>
                <w:sz w:val="21"/>
                <w:szCs w:val="21"/>
                <w:lang w:eastAsia="zh-CN"/>
              </w:rPr>
              <w:t xml:space="preserve">过</w:t>
            </w:r>
            <w:r>
              <w:rPr>
                <w:rFonts w:hint="default" w:ascii="Times New Roman" w:hAnsi="Times New Roman" w:eastAsia="宋体" w:cs="Times New Roman"/>
                <w:color w:val="000000"/>
                <w:sz w:val="21"/>
                <w:szCs w:val="21"/>
              </w:rPr>
              <w:t xml:space="preserve">类似业绩的，每提供1份业绩得</w:t>
            </w:r>
            <w:r>
              <w:rPr>
                <w:rFonts w:hint="default" w:ascii="Times New Roman" w:hAnsi="Times New Roman" w:eastAsia="宋体" w:cs="Times New Roman"/>
                <w:color w:val="000000"/>
                <w:sz w:val="21"/>
                <w:szCs w:val="21"/>
                <w:lang w:val="en-US" w:eastAsia="zh-CN"/>
              </w:rPr>
              <w:t xml:space="preserve">3</w:t>
            </w:r>
            <w:r>
              <w:rPr>
                <w:rFonts w:hint="default" w:ascii="Times New Roman" w:hAnsi="Times New Roman" w:eastAsia="宋体" w:cs="Times New Roman"/>
                <w:color w:val="000000"/>
                <w:sz w:val="21"/>
                <w:szCs w:val="21"/>
              </w:rPr>
              <w:t xml:space="preserve">分，最高得</w:t>
            </w:r>
            <w:r>
              <w:rPr>
                <w:rFonts w:hint="default" w:ascii="Times New Roman" w:hAnsi="Times New Roman" w:eastAsia="宋体" w:cs="Times New Roman"/>
                <w:color w:val="000000"/>
                <w:sz w:val="21"/>
                <w:szCs w:val="21"/>
                <w:lang w:val="en-US" w:eastAsia="zh-CN"/>
              </w:rPr>
              <w:t xml:space="preserve">6</w:t>
            </w:r>
            <w:r>
              <w:rPr>
                <w:rFonts w:hint="default" w:ascii="Times New Roman" w:hAnsi="Times New Roman" w:eastAsia="宋体" w:cs="Times New Roman"/>
                <w:color w:val="000000"/>
                <w:sz w:val="21"/>
                <w:szCs w:val="21"/>
              </w:rPr>
              <w:t xml:space="preserve">分，未提供或者资料不全不得分。（</w:t>
            </w:r>
            <w:r>
              <w:rPr>
                <w:rFonts w:hint="default" w:ascii="Times New Roman" w:hAnsi="Times New Roman" w:eastAsia="宋体" w:cs="Times New Roman"/>
                <w:color w:val="000000"/>
                <w:sz w:val="21"/>
                <w:szCs w:val="21"/>
                <w:lang w:eastAsia="zh-CN"/>
              </w:rPr>
              <w:t xml:space="preserve">提供</w:t>
            </w:r>
            <w:r>
              <w:rPr>
                <w:rFonts w:hint="default" w:ascii="Times New Roman" w:hAnsi="Times New Roman" w:eastAsia="宋体" w:cs="Times New Roman"/>
                <w:color w:val="000000"/>
                <w:sz w:val="21"/>
                <w:szCs w:val="21"/>
              </w:rPr>
              <w:t xml:space="preserve">合同扫描件，并加盖投标人公章）</w:t>
            </w:r>
            <w:r/>
          </w:p>
        </w:tc>
      </w:tr>
      <w:tr>
        <w:trPr>
          <w:jc w:val="center"/>
          <w:trHeight w:val="3254"/>
        </w:trPr>
        <w:tc>
          <w:tcPr>
            <w:tcW w:w="427" w:type="dxa"/>
            <w:vAlign w:val="center"/>
            <w:textDirection w:val="lrTb"/>
            <w:noWrap w:val="false"/>
          </w:tcPr>
          <w:p>
            <w:pPr>
              <w:jc w:val="center"/>
              <w:keepLines w:val="0"/>
              <w:keepNext w:val="0"/>
              <w:pageBreakBefore w:val="0"/>
              <w:spacing w:before="62" w:after="62" w:line="340" w:lineRule="exact"/>
              <w:widowControl w:val="off"/>
              <w:rPr>
                <w:rFonts w:hint="default" w:ascii="Times New Roman" w:hAnsi="Times New Roman" w:eastAsia="宋体" w:cs="Times New Roman"/>
                <w:sz w:val="21"/>
                <w:szCs w:val="21"/>
              </w:rPr>
            </w:pPr>
            <w:r>
              <w:rPr>
                <w:rFonts w:hint="default" w:ascii="Times New Roman" w:hAnsi="Times New Roman" w:eastAsia="宋体" w:cs="Times New Roman"/>
                <w:sz w:val="21"/>
                <w:szCs w:val="21"/>
              </w:rPr>
              <w:t xml:space="preserve">3</w:t>
            </w:r>
            <w:r/>
          </w:p>
        </w:tc>
        <w:tc>
          <w:tcPr>
            <w:tcW w:w="1553" w:type="dxa"/>
            <w:vAlign w:val="center"/>
            <w:textDirection w:val="lrTb"/>
            <w:noWrap w:val="false"/>
          </w:tcPr>
          <w:p>
            <w:pPr>
              <w:jc w:val="center"/>
              <w:keepLines w:val="0"/>
              <w:keepNext w:val="0"/>
              <w:pageBreakBefore w:val="0"/>
              <w:spacing w:before="62" w:after="62" w:line="340" w:lineRule="exact"/>
              <w:widowControl w:val="off"/>
              <w:rPr>
                <w:rFonts w:hint="default" w:ascii="Times New Roman" w:hAnsi="Times New Roman" w:eastAsia="宋体" w:cs="Times New Roman"/>
                <w:sz w:val="21"/>
                <w:szCs w:val="21"/>
              </w:rPr>
            </w:pPr>
            <w:r>
              <w:rPr>
                <w:rFonts w:hint="default" w:ascii="Times New Roman" w:hAnsi="Times New Roman" w:eastAsia="宋体" w:cs="Times New Roman"/>
                <w:sz w:val="21"/>
                <w:szCs w:val="21"/>
              </w:rPr>
              <w:t xml:space="preserve">技术参数</w:t>
            </w:r>
            <w:r/>
          </w:p>
        </w:tc>
        <w:tc>
          <w:tcPr>
            <w:tcW w:w="709" w:type="dxa"/>
            <w:vAlign w:val="center"/>
            <w:textDirection w:val="lrTb"/>
            <w:noWrap w:val="false"/>
          </w:tcPr>
          <w:p>
            <w:pPr>
              <w:jc w:val="center"/>
              <w:keepLines w:val="0"/>
              <w:keepNext w:val="0"/>
              <w:pageBreakBefore w:val="0"/>
              <w:spacing w:before="62" w:after="62" w:line="340" w:lineRule="exact"/>
              <w:widowControl w:val="off"/>
              <w:rPr>
                <w:rFonts w:hint="default" w:ascii="Times New Roman" w:hAnsi="Times New Roman" w:eastAsia="宋体" w:cs="Times New Roman"/>
                <w:sz w:val="21"/>
                <w:szCs w:val="21"/>
                <w:lang w:val="en-US" w:eastAsia="zh-CN"/>
              </w:rPr>
            </w:pPr>
            <w:r>
              <w:rPr>
                <w:rFonts w:hint="eastAsia" w:ascii="Times New Roman" w:hAnsi="Times New Roman" w:eastAsia="宋体" w:cs="Times New Roman"/>
                <w:sz w:val="21"/>
                <w:szCs w:val="21"/>
                <w:lang w:val="en-US" w:eastAsia="zh-CN"/>
              </w:rPr>
              <w:t xml:space="preserve">24</w:t>
            </w:r>
            <w:r/>
          </w:p>
        </w:tc>
        <w:tc>
          <w:tcPr>
            <w:tcW w:w="6095" w:type="dxa"/>
            <w:vAlign w:val="center"/>
            <w:textDirection w:val="lrTb"/>
            <w:noWrap w:val="false"/>
          </w:tcPr>
          <w:p>
            <w:pPr>
              <w:spacing w:line="340" w:lineRule="exact"/>
              <w:rPr>
                <w:rFonts w:ascii="Times New Roman" w:hAnsi="Times New Roman" w:cs="Times New Roman"/>
                <w:szCs w:val="21"/>
              </w:rPr>
              <w:pBdr>
                <w:top w:val="none" w:color="000000" w:sz="0" w:space="0"/>
                <w:left w:val="none" w:color="000000" w:sz="0" w:space="0"/>
                <w:bottom w:val="none" w:color="000000" w:sz="0" w:space="0"/>
                <w:right w:val="none" w:color="000000" w:sz="0" w:space="0"/>
              </w:pBdr>
            </w:pPr>
            <w:r>
              <w:rPr>
                <w:rFonts w:ascii="Times New Roman" w:hAnsi="Times New Roman" w:eastAsia="宋体" w:cs="Times New Roman"/>
                <w:color w:val="000000"/>
                <w:szCs w:val="21"/>
              </w:rPr>
              <w:t xml:space="preserve">根据供应商提供的投标文件对采购文件中采购需求“</w:t>
            </w:r>
            <w:r>
              <w:rPr>
                <w:rFonts w:ascii="Times New Roman" w:hAnsi="Times New Roman" w:eastAsia="宋体" w:cs="Times New Roman"/>
                <w:b/>
                <w:bCs/>
                <w:szCs w:val="21"/>
              </w:rPr>
              <w:t xml:space="preserve">技术参数要求</w:t>
            </w:r>
            <w:r>
              <w:rPr>
                <w:rFonts w:ascii="Times New Roman" w:hAnsi="Times New Roman" w:eastAsia="宋体" w:cs="Times New Roman"/>
                <w:color w:val="000000"/>
                <w:szCs w:val="21"/>
              </w:rPr>
              <w:t xml:space="preserve">”的响应和满足程度进行评分：完全满足或正偏离采购文件要求的得满分</w:t>
            </w:r>
            <w:r>
              <w:rPr>
                <w:rFonts w:hint="eastAsia" w:ascii="Times New Roman" w:hAnsi="Times New Roman" w:cs="Times New Roman"/>
                <w:color w:val="auto"/>
                <w:szCs w:val="21"/>
              </w:rPr>
              <w:t xml:space="preserve">24</w:t>
            </w:r>
            <w:r>
              <w:rPr>
                <w:rFonts w:ascii="Times New Roman" w:hAnsi="Times New Roman" w:eastAsia="宋体" w:cs="Times New Roman"/>
                <w:color w:val="auto"/>
                <w:szCs w:val="21"/>
              </w:rPr>
              <w:t xml:space="preserve">分；带▲、★的参数每有一项能够满足技术参数要求的功能项得</w:t>
            </w:r>
            <w:r>
              <w:rPr>
                <w:rFonts w:hint="eastAsia" w:ascii="Times New Roman" w:hAnsi="Times New Roman" w:eastAsia="宋体" w:cs="Times New Roman"/>
                <w:color w:val="auto"/>
                <w:szCs w:val="21"/>
              </w:rPr>
              <w:t xml:space="preserve">0.5</w:t>
            </w:r>
            <w:r>
              <w:rPr>
                <w:rFonts w:ascii="Times New Roman" w:hAnsi="Times New Roman" w:eastAsia="宋体" w:cs="Times New Roman"/>
                <w:color w:val="auto"/>
                <w:szCs w:val="21"/>
              </w:rPr>
              <w:t xml:space="preserve">分，共</w:t>
            </w:r>
            <w:r>
              <w:rPr>
                <w:rFonts w:hint="eastAsia" w:ascii="Times New Roman" w:hAnsi="Times New Roman" w:eastAsia="宋体" w:cs="Times New Roman"/>
                <w:color w:val="auto"/>
                <w:szCs w:val="21"/>
              </w:rPr>
              <w:t xml:space="preserve">7</w:t>
            </w:r>
            <w:r>
              <w:rPr>
                <w:rFonts w:ascii="Times New Roman" w:hAnsi="Times New Roman" w:eastAsia="宋体" w:cs="Times New Roman"/>
                <w:color w:val="auto"/>
                <w:szCs w:val="21"/>
              </w:rPr>
              <w:t xml:space="preserve">分；</w:t>
            </w:r>
            <w:r>
              <w:rPr>
                <w:rFonts w:ascii="Times New Roman" w:hAnsi="Times New Roman" w:eastAsia="宋体" w:cs="Times New Roman"/>
                <w:color w:val="000000"/>
                <w:szCs w:val="21"/>
              </w:rPr>
              <w:t xml:space="preserve">未带▲、★的参数每有一项能够满足技术参数要求的功能项得0.</w:t>
            </w:r>
            <w:r>
              <w:rPr>
                <w:rFonts w:ascii="Times New Roman" w:hAnsi="Times New Roman" w:eastAsia="Calibri" w:cs="Times New Roman"/>
                <w:color w:val="000000"/>
                <w:szCs w:val="21"/>
              </w:rPr>
              <w:t xml:space="preserve">1</w:t>
            </w:r>
            <w:r>
              <w:rPr>
                <w:rFonts w:ascii="Times New Roman" w:hAnsi="Times New Roman" w:eastAsia="宋体" w:cs="Times New Roman"/>
                <w:color w:val="000000"/>
                <w:szCs w:val="21"/>
              </w:rPr>
              <w:t xml:space="preserve">分，共17分。</w:t>
            </w:r>
            <w:r/>
          </w:p>
          <w:p>
            <w:pPr>
              <w:keepLines w:val="0"/>
              <w:keepNext w:val="0"/>
              <w:pageBreakBefore w:val="0"/>
              <w:spacing w:before="62" w:after="62" w:line="340" w:lineRule="exact"/>
              <w:widowControl w:val="off"/>
              <w:rPr>
                <w:rFonts w:hint="default" w:ascii="Times New Roman" w:hAnsi="Times New Roman" w:eastAsia="宋体" w:cs="Times New Roman"/>
                <w:sz w:val="21"/>
                <w:szCs w:val="21"/>
              </w:rPr>
            </w:pPr>
            <w:r>
              <w:rPr>
                <w:rFonts w:ascii="Times New Roman" w:hAnsi="Times New Roman" w:eastAsia="宋体" w:cs="Times New Roman"/>
                <w:szCs w:val="21"/>
              </w:rPr>
              <w:t xml:space="preserve">（</w:t>
            </w:r>
            <w:r>
              <w:rPr>
                <w:rFonts w:ascii="Times New Roman" w:hAnsi="Times New Roman" w:cs="Times New Roman"/>
                <w:szCs w:val="21"/>
              </w:rPr>
              <w:t xml:space="preserve">各投标人需针对“招标文件”要求在投标文件《技术参数偏离表》中逐条列出响应及偏差情况并予以说明。</w:t>
            </w:r>
            <w:r>
              <w:rPr>
                <w:rFonts w:ascii="Times New Roman" w:hAnsi="Times New Roman" w:eastAsia="宋体" w:cs="Times New Roman"/>
                <w:color w:val="000000"/>
                <w:szCs w:val="21"/>
              </w:rPr>
              <w:t xml:space="preserve">带▲、★的参数</w:t>
            </w:r>
            <w:r>
              <w:rPr>
                <w:rFonts w:ascii="Times New Roman" w:hAnsi="Times New Roman" w:eastAsia="宋体" w:cs="Times New Roman"/>
                <w:szCs w:val="21"/>
              </w:rPr>
              <w:t xml:space="preserve">根据招标文件要求提供证明材料，须加盖投标人公章进行佐证，未提供或提供无效的视为负偏离。）</w:t>
            </w:r>
            <w:r/>
          </w:p>
        </w:tc>
      </w:tr>
      <w:tr>
        <w:trPr>
          <w:jc w:val="center"/>
          <w:trHeight w:val="3215"/>
        </w:trPr>
        <w:tc>
          <w:tcPr>
            <w:tcW w:w="427" w:type="dxa"/>
            <w:vAlign w:val="center"/>
            <w:textDirection w:val="lrTb"/>
            <w:noWrap w:val="false"/>
          </w:tcPr>
          <w:p>
            <w:pPr>
              <w:jc w:val="center"/>
              <w:keepLines w:val="0"/>
              <w:keepNext w:val="0"/>
              <w:pageBreakBefore w:val="0"/>
              <w:spacing w:before="62" w:after="62" w:line="340" w:lineRule="exact"/>
              <w:widowControl w:val="off"/>
              <w:rPr>
                <w:rFonts w:hint="default" w:ascii="Times New Roman" w:hAnsi="Times New Roman" w:eastAsia="宋体" w:cs="Times New Roman"/>
                <w:sz w:val="21"/>
                <w:szCs w:val="21"/>
              </w:rPr>
            </w:pPr>
            <w:r>
              <w:rPr>
                <w:rFonts w:hint="default" w:ascii="Times New Roman" w:hAnsi="Times New Roman" w:eastAsia="宋体" w:cs="Times New Roman"/>
                <w:sz w:val="21"/>
                <w:szCs w:val="21"/>
              </w:rPr>
              <w:t xml:space="preserve">4</w:t>
            </w:r>
            <w:r/>
          </w:p>
        </w:tc>
        <w:tc>
          <w:tcPr>
            <w:tcW w:w="1553" w:type="dxa"/>
            <w:vAlign w:val="center"/>
            <w:textDirection w:val="lrTb"/>
            <w:noWrap w:val="false"/>
          </w:tcPr>
          <w:p>
            <w:pPr>
              <w:jc w:val="center"/>
              <w:keepLines w:val="0"/>
              <w:keepNext w:val="0"/>
              <w:pageBreakBefore w:val="0"/>
              <w:spacing w:before="62" w:after="62" w:line="340" w:lineRule="exact"/>
              <w:widowControl w:val="off"/>
              <w:rPr>
                <w:rFonts w:hint="default" w:ascii="Times New Roman" w:hAnsi="Times New Roman" w:eastAsia="宋体" w:cs="Times New Roman"/>
                <w:sz w:val="21"/>
                <w:szCs w:val="21"/>
              </w:rPr>
            </w:pPr>
            <w:r>
              <w:rPr>
                <w:rFonts w:hint="default" w:ascii="Times New Roman" w:hAnsi="Times New Roman" w:eastAsia="宋体" w:cs="Times New Roman"/>
                <w:sz w:val="21"/>
                <w:szCs w:val="21"/>
              </w:rPr>
              <w:t xml:space="preserve">技术方案</w:t>
            </w:r>
            <w:r/>
          </w:p>
        </w:tc>
        <w:tc>
          <w:tcPr>
            <w:tcW w:w="709" w:type="dxa"/>
            <w:vAlign w:val="center"/>
            <w:textDirection w:val="lrTb"/>
            <w:noWrap w:val="false"/>
          </w:tcPr>
          <w:p>
            <w:pPr>
              <w:jc w:val="center"/>
              <w:keepLines w:val="0"/>
              <w:keepNext w:val="0"/>
              <w:pageBreakBefore w:val="0"/>
              <w:spacing w:before="62" w:after="62" w:line="340" w:lineRule="exact"/>
              <w:widowControl w:val="off"/>
              <w:rPr>
                <w:rFonts w:hint="default" w:ascii="Times New Roman" w:hAnsi="Times New Roman" w:eastAsia="宋体" w:cs="Times New Roman"/>
                <w:sz w:val="21"/>
                <w:szCs w:val="21"/>
                <w:lang w:val="en-US" w:eastAsia="zh-CN"/>
              </w:rPr>
            </w:pPr>
            <w:r>
              <w:rPr>
                <w:rFonts w:hint="eastAsia" w:ascii="Times New Roman" w:hAnsi="Times New Roman" w:eastAsia="宋体" w:cs="Times New Roman"/>
                <w:sz w:val="21"/>
                <w:szCs w:val="21"/>
                <w:lang w:val="en-US" w:eastAsia="zh-CN"/>
              </w:rPr>
              <w:t xml:space="preserve">14</w:t>
            </w:r>
            <w:r/>
          </w:p>
        </w:tc>
        <w:tc>
          <w:tcPr>
            <w:tcW w:w="6095" w:type="dxa"/>
            <w:vAlign w:val="center"/>
            <w:textDirection w:val="lrTb"/>
            <w:noWrap w:val="false"/>
          </w:tcPr>
          <w:p>
            <w:pPr>
              <w:keepLines w:val="0"/>
              <w:keepNext w:val="0"/>
              <w:pageBreakBefore w:val="0"/>
              <w:spacing w:before="62" w:after="62" w:line="340" w:lineRule="exact"/>
              <w:widowControl w:val="off"/>
              <w:rPr>
                <w:rFonts w:hint="default" w:ascii="Times New Roman" w:hAnsi="Times New Roman" w:eastAsia="宋体" w:cs="Times New Roman"/>
                <w:sz w:val="21"/>
                <w:szCs w:val="21"/>
              </w:rPr>
            </w:pPr>
            <w:r>
              <w:rPr>
                <w:rFonts w:hint="default" w:ascii="Times New Roman" w:hAnsi="Times New Roman" w:eastAsia="宋体" w:cs="Times New Roman"/>
                <w:sz w:val="21"/>
                <w:szCs w:val="21"/>
              </w:rPr>
              <w:t xml:space="preserve">投标人结合项目需求提供一套实现本项目具备更高性能的技术方案</w:t>
            </w:r>
            <w:r>
              <w:rPr>
                <w:rFonts w:hint="eastAsia" w:ascii="Times New Roman" w:hAnsi="Times New Roman" w:eastAsia="宋体" w:cs="Times New Roman"/>
                <w:sz w:val="21"/>
                <w:szCs w:val="21"/>
                <w:lang w:eastAsia="zh-CN"/>
              </w:rPr>
              <w:t xml:space="preserve">，</w:t>
            </w:r>
            <w:r>
              <w:rPr>
                <w:rFonts w:hint="default" w:ascii="Times New Roman" w:hAnsi="Times New Roman" w:eastAsia="宋体" w:cs="Times New Roman"/>
                <w:sz w:val="21"/>
                <w:szCs w:val="21"/>
              </w:rPr>
              <w:t xml:space="preserve">包括但不限于</w:t>
            </w:r>
            <w:r>
              <w:rPr>
                <w:rFonts w:hint="eastAsia" w:ascii="Times New Roman" w:hAnsi="Times New Roman" w:eastAsia="宋体" w:cs="Times New Roman"/>
                <w:sz w:val="21"/>
                <w:szCs w:val="21"/>
                <w:lang w:eastAsia="zh-CN"/>
              </w:rPr>
              <w:t xml:space="preserve">目标设定、技术选择</w:t>
            </w:r>
            <w:r>
              <w:rPr>
                <w:rFonts w:hint="default" w:ascii="Times New Roman" w:hAnsi="Times New Roman" w:eastAsia="宋体" w:cs="Times New Roman"/>
                <w:sz w:val="21"/>
                <w:szCs w:val="21"/>
              </w:rPr>
              <w:t xml:space="preserve">等内容。</w:t>
            </w:r>
            <w:r/>
          </w:p>
          <w:p>
            <w:pPr>
              <w:keepLines w:val="0"/>
              <w:keepNext w:val="0"/>
              <w:pageBreakBefore w:val="0"/>
              <w:spacing w:before="62" w:after="62" w:line="340" w:lineRule="exact"/>
              <w:widowControl w:val="off"/>
              <w:rPr>
                <w:rFonts w:hint="default" w:ascii="Times New Roman" w:hAnsi="Times New Roman" w:eastAsia="宋体" w:cs="Times New Roman"/>
                <w:sz w:val="21"/>
                <w:szCs w:val="21"/>
                <w:lang w:eastAsia="zh-CN"/>
              </w:rPr>
            </w:pPr>
            <w:r>
              <w:rPr>
                <w:rFonts w:hint="default" w:ascii="Times New Roman" w:hAnsi="Times New Roman" w:eastAsia="宋体" w:cs="Times New Roman"/>
                <w:sz w:val="21"/>
                <w:szCs w:val="21"/>
                <w:lang w:val="en-US" w:eastAsia="zh-CN"/>
              </w:rPr>
              <w:t xml:space="preserve">①</w:t>
            </w:r>
            <w:r>
              <w:rPr>
                <w:rFonts w:hint="default" w:ascii="Times New Roman" w:hAnsi="Times New Roman" w:eastAsia="宋体" w:cs="Times New Roman"/>
                <w:sz w:val="21"/>
                <w:szCs w:val="21"/>
              </w:rPr>
              <w:t xml:space="preserve">方案描述全面合理符合采购需求的得</w:t>
            </w:r>
            <w:r>
              <w:rPr>
                <w:rFonts w:hint="eastAsia" w:ascii="Times New Roman" w:hAnsi="Times New Roman" w:eastAsia="宋体" w:cs="Times New Roman"/>
                <w:sz w:val="21"/>
                <w:szCs w:val="21"/>
                <w:lang w:val="en-US" w:eastAsia="zh-CN"/>
              </w:rPr>
              <w:t xml:space="preserve">14</w:t>
            </w:r>
            <w:r>
              <w:rPr>
                <w:rFonts w:hint="default" w:ascii="Times New Roman" w:hAnsi="Times New Roman" w:eastAsia="宋体" w:cs="Times New Roman"/>
                <w:sz w:val="21"/>
                <w:szCs w:val="21"/>
              </w:rPr>
              <w:t xml:space="preserve">分</w:t>
            </w:r>
            <w:r>
              <w:rPr>
                <w:rFonts w:hint="default" w:ascii="Times New Roman" w:hAnsi="Times New Roman" w:eastAsia="宋体" w:cs="Times New Roman"/>
                <w:sz w:val="21"/>
                <w:szCs w:val="21"/>
                <w:lang w:eastAsia="zh-CN"/>
              </w:rPr>
              <w:t xml:space="preserve">；</w:t>
            </w:r>
            <w:r/>
          </w:p>
          <w:p>
            <w:pPr>
              <w:keepLines w:val="0"/>
              <w:keepNext w:val="0"/>
              <w:pageBreakBefore w:val="0"/>
              <w:spacing w:before="62" w:after="62" w:line="340" w:lineRule="exact"/>
              <w:widowControl w:val="off"/>
              <w:rPr>
                <w:rFonts w:hint="default" w:ascii="Times New Roman" w:hAnsi="Times New Roman" w:eastAsia="宋体" w:cs="Times New Roman"/>
                <w:sz w:val="21"/>
                <w:szCs w:val="21"/>
                <w:lang w:eastAsia="zh-CN"/>
              </w:rPr>
            </w:pPr>
            <w:r>
              <w:rPr>
                <w:rFonts w:hint="default" w:ascii="Times New Roman" w:hAnsi="Times New Roman" w:eastAsia="宋体" w:cs="Times New Roman"/>
                <w:sz w:val="21"/>
                <w:szCs w:val="21"/>
                <w:lang w:val="en-US" w:eastAsia="zh-CN"/>
              </w:rPr>
              <w:t xml:space="preserve">②</w:t>
            </w:r>
            <w:r>
              <w:rPr>
                <w:rFonts w:hint="default" w:ascii="Times New Roman" w:hAnsi="Times New Roman" w:eastAsia="宋体" w:cs="Times New Roman"/>
                <w:sz w:val="21"/>
                <w:szCs w:val="21"/>
              </w:rPr>
              <w:t xml:space="preserve">每有一项内容缺失的扣</w:t>
            </w:r>
            <w:r>
              <w:rPr>
                <w:rFonts w:hint="eastAsia" w:ascii="Times New Roman" w:hAnsi="Times New Roman" w:eastAsia="宋体" w:cs="Times New Roman"/>
                <w:sz w:val="21"/>
                <w:szCs w:val="21"/>
                <w:lang w:val="en-US" w:eastAsia="zh-CN"/>
              </w:rPr>
              <w:t xml:space="preserve">7</w:t>
            </w:r>
            <w:r>
              <w:rPr>
                <w:rFonts w:hint="default" w:ascii="Times New Roman" w:hAnsi="Times New Roman" w:eastAsia="宋体" w:cs="Times New Roman"/>
                <w:sz w:val="21"/>
                <w:szCs w:val="21"/>
              </w:rPr>
              <w:t xml:space="preserve">分</w:t>
            </w:r>
            <w:r>
              <w:rPr>
                <w:rFonts w:hint="default" w:ascii="Times New Roman" w:hAnsi="Times New Roman" w:eastAsia="宋体" w:cs="Times New Roman"/>
                <w:sz w:val="21"/>
                <w:szCs w:val="21"/>
                <w:lang w:eastAsia="zh-CN"/>
              </w:rPr>
              <w:t xml:space="preserve">；</w:t>
            </w:r>
            <w:r/>
          </w:p>
          <w:p>
            <w:pPr>
              <w:keepLines w:val="0"/>
              <w:keepNext w:val="0"/>
              <w:pageBreakBefore w:val="0"/>
              <w:spacing w:before="62" w:after="62" w:line="340" w:lineRule="exact"/>
              <w:widowControl w:val="off"/>
              <w:rPr>
                <w:rFonts w:hint="eastAsia" w:ascii="Times New Roman" w:hAnsi="Times New Roman" w:eastAsia="宋体" w:cs="Times New Roman"/>
                <w:sz w:val="21"/>
                <w:szCs w:val="21"/>
                <w:lang w:eastAsia="zh-CN"/>
              </w:rPr>
            </w:pPr>
            <w:r>
              <w:rPr>
                <w:rFonts w:hint="default" w:ascii="Times New Roman" w:hAnsi="Times New Roman" w:eastAsia="宋体" w:cs="Times New Roman"/>
                <w:sz w:val="21"/>
                <w:szCs w:val="21"/>
                <w:lang w:val="en-US" w:eastAsia="zh-CN"/>
              </w:rPr>
              <w:t xml:space="preserve">③</w:t>
            </w:r>
            <w:r>
              <w:rPr>
                <w:rFonts w:hint="default" w:ascii="Times New Roman" w:hAnsi="Times New Roman" w:eastAsia="宋体" w:cs="Times New Roman"/>
                <w:sz w:val="21"/>
                <w:szCs w:val="21"/>
              </w:rPr>
              <w:t xml:space="preserve">每有一项内容存在缺陷（缺陷是指：内容与实际情况不符、内容与项目无关、内容表述错误、内容前后表述矛盾、内容与项目不匹配、项目信息错误、不符合本项目涉及的相关规范或标准要求等）的扣</w:t>
            </w:r>
            <w:r>
              <w:rPr>
                <w:rFonts w:hint="default" w:ascii="Times New Roman" w:hAnsi="Times New Roman" w:eastAsia="宋体" w:cs="Times New Roman"/>
                <w:sz w:val="21"/>
                <w:szCs w:val="21"/>
                <w:lang w:val="en-US" w:eastAsia="zh-CN"/>
              </w:rPr>
              <w:t xml:space="preserve">1</w:t>
            </w:r>
            <w:r>
              <w:rPr>
                <w:rFonts w:hint="default" w:ascii="Times New Roman" w:hAnsi="Times New Roman" w:eastAsia="宋体" w:cs="Times New Roman"/>
                <w:sz w:val="21"/>
                <w:szCs w:val="21"/>
              </w:rPr>
              <w:t xml:space="preserve">分，扣完为止</w:t>
            </w:r>
            <w:r>
              <w:rPr>
                <w:rFonts w:hint="eastAsia" w:ascii="Times New Roman" w:hAnsi="Times New Roman" w:eastAsia="宋体" w:cs="Times New Roman"/>
                <w:sz w:val="21"/>
                <w:szCs w:val="21"/>
                <w:lang w:val="en-US" w:eastAsia="zh-CN"/>
              </w:rPr>
              <w:t xml:space="preserve">；</w:t>
            </w:r>
            <w:r/>
          </w:p>
          <w:p>
            <w:pPr>
              <w:keepLines w:val="0"/>
              <w:keepNext w:val="0"/>
              <w:pageBreakBefore w:val="0"/>
              <w:spacing w:before="62" w:after="62" w:line="340" w:lineRule="exact"/>
              <w:widowControl w:val="off"/>
              <w:rPr>
                <w:rFonts w:hint="eastAsia" w:ascii="宋体" w:hAnsi="宋体" w:eastAsia="宋体" w:cs="宋体"/>
                <w:sz w:val="21"/>
                <w:szCs w:val="21"/>
              </w:rPr>
            </w:pPr>
            <w:r>
              <w:rPr>
                <w:rFonts w:hint="eastAsia" w:ascii="宋体" w:hAnsi="宋体" w:eastAsia="宋体" w:cs="宋体"/>
                <w:sz w:val="21"/>
                <w:szCs w:val="21"/>
              </w:rPr>
              <w:t xml:space="preserve">④</w:t>
            </w:r>
            <w:r>
              <w:rPr>
                <w:rFonts w:hint="eastAsia" w:ascii="宋体" w:hAnsi="宋体" w:eastAsia="宋体" w:cs="宋体"/>
                <w:color w:val="000000"/>
                <w:sz w:val="21"/>
                <w:szCs w:val="21"/>
                <w:highlight w:val="none"/>
                <w:lang w:val="zh-TW" w:eastAsia="zh-TW" w:bidi="ar"/>
              </w:rPr>
              <w:t xml:space="preserve">未提供不得分。</w:t>
            </w:r>
            <w:r/>
          </w:p>
        </w:tc>
      </w:tr>
      <w:tr>
        <w:trPr>
          <w:jc w:val="center"/>
        </w:trPr>
        <w:tc>
          <w:tcPr>
            <w:tcW w:w="427" w:type="dxa"/>
            <w:vAlign w:val="center"/>
            <w:textDirection w:val="lrTb"/>
            <w:noWrap w:val="false"/>
          </w:tcPr>
          <w:p>
            <w:pPr>
              <w:jc w:val="center"/>
              <w:keepLines w:val="0"/>
              <w:keepNext w:val="0"/>
              <w:pageBreakBefore w:val="0"/>
              <w:spacing w:before="62" w:after="62" w:line="340" w:lineRule="exact"/>
              <w:widowControl w:val="off"/>
              <w:rPr>
                <w:rFonts w:hint="default" w:ascii="Times New Roman" w:hAnsi="Times New Roman" w:eastAsia="宋体" w:cs="Times New Roman"/>
                <w:sz w:val="21"/>
                <w:szCs w:val="21"/>
              </w:rPr>
            </w:pPr>
            <w:r>
              <w:rPr>
                <w:rFonts w:hint="default" w:ascii="Times New Roman" w:hAnsi="Times New Roman" w:eastAsia="宋体" w:cs="Times New Roman"/>
                <w:sz w:val="21"/>
                <w:szCs w:val="21"/>
              </w:rPr>
              <w:t xml:space="preserve">5</w:t>
            </w:r>
            <w:r/>
          </w:p>
        </w:tc>
        <w:tc>
          <w:tcPr>
            <w:tcW w:w="1553" w:type="dxa"/>
            <w:vAlign w:val="center"/>
            <w:textDirection w:val="lrTb"/>
            <w:noWrap w:val="false"/>
          </w:tcPr>
          <w:p>
            <w:pPr>
              <w:jc w:val="center"/>
              <w:keepLines w:val="0"/>
              <w:keepNext w:val="0"/>
              <w:pageBreakBefore w:val="0"/>
              <w:spacing w:before="62" w:after="62" w:line="340" w:lineRule="exact"/>
              <w:widowControl w:val="off"/>
              <w:rPr>
                <w:rFonts w:hint="default" w:ascii="Times New Roman" w:hAnsi="Times New Roman" w:eastAsia="宋体" w:cs="Times New Roman"/>
                <w:sz w:val="21"/>
                <w:szCs w:val="21"/>
              </w:rPr>
            </w:pPr>
            <w:r>
              <w:rPr>
                <w:rFonts w:hint="default" w:ascii="Times New Roman" w:hAnsi="Times New Roman" w:eastAsia="宋体" w:cs="Times New Roman"/>
                <w:sz w:val="21"/>
                <w:szCs w:val="21"/>
              </w:rPr>
              <w:t xml:space="preserve">实施方案</w:t>
            </w:r>
            <w:r/>
          </w:p>
        </w:tc>
        <w:tc>
          <w:tcPr>
            <w:tcW w:w="709" w:type="dxa"/>
            <w:vAlign w:val="center"/>
            <w:textDirection w:val="lrTb"/>
            <w:noWrap w:val="false"/>
          </w:tcPr>
          <w:p>
            <w:pPr>
              <w:jc w:val="center"/>
              <w:keepLines w:val="0"/>
              <w:keepNext w:val="0"/>
              <w:pageBreakBefore w:val="0"/>
              <w:spacing w:before="62" w:after="62" w:line="340" w:lineRule="exact"/>
              <w:widowControl w:val="off"/>
              <w:rPr>
                <w:rFonts w:hint="default" w:ascii="Times New Roman" w:hAnsi="Times New Roman" w:eastAsia="宋体" w:cs="Times New Roman"/>
                <w:sz w:val="21"/>
                <w:szCs w:val="21"/>
              </w:rPr>
            </w:pPr>
            <w:r>
              <w:rPr>
                <w:rFonts w:hint="default" w:ascii="Times New Roman" w:hAnsi="Times New Roman" w:eastAsia="宋体" w:cs="Times New Roman"/>
                <w:sz w:val="21"/>
                <w:szCs w:val="21"/>
              </w:rPr>
              <w:t xml:space="preserve">12</w:t>
            </w:r>
            <w:r/>
          </w:p>
        </w:tc>
        <w:tc>
          <w:tcPr>
            <w:tcW w:w="6095" w:type="dxa"/>
            <w:vAlign w:val="center"/>
            <w:textDirection w:val="lrTb"/>
            <w:noWrap w:val="false"/>
          </w:tcPr>
          <w:p>
            <w:pPr>
              <w:keepLines w:val="0"/>
              <w:keepNext w:val="0"/>
              <w:pageBreakBefore w:val="0"/>
              <w:spacing w:before="62" w:after="62" w:line="340" w:lineRule="exact"/>
              <w:widowControl w:val="off"/>
              <w:rPr>
                <w:rFonts w:hint="default" w:ascii="Times New Roman" w:hAnsi="Times New Roman" w:eastAsia="宋体" w:cs="Times New Roman"/>
                <w:sz w:val="21"/>
                <w:szCs w:val="21"/>
              </w:rPr>
            </w:pPr>
            <w:r>
              <w:rPr>
                <w:rFonts w:hint="default" w:ascii="Times New Roman" w:hAnsi="Times New Roman" w:eastAsia="宋体" w:cs="Times New Roman"/>
                <w:sz w:val="21"/>
                <w:szCs w:val="21"/>
              </w:rPr>
              <w:t xml:space="preserve">投标人提供项目实施方案，包括但不限于供货、运输、安装等安排</w:t>
            </w:r>
            <w:r>
              <w:rPr>
                <w:rFonts w:hint="default" w:ascii="Times New Roman" w:hAnsi="Times New Roman" w:eastAsia="宋体" w:cs="Times New Roman"/>
                <w:sz w:val="21"/>
                <w:szCs w:val="21"/>
                <w:lang w:eastAsia="zh-CN"/>
              </w:rPr>
              <w:t xml:space="preserve">、</w:t>
            </w:r>
            <w:r>
              <w:rPr>
                <w:rFonts w:hint="default" w:ascii="Times New Roman" w:hAnsi="Times New Roman" w:eastAsia="宋体" w:cs="Times New Roman"/>
                <w:sz w:val="21"/>
                <w:szCs w:val="21"/>
              </w:rPr>
              <w:t xml:space="preserve">工期进度安排、产品质量保证措施、现场施工的管理措施、安全保障措施、验收方案等内容。</w:t>
            </w:r>
            <w:r/>
          </w:p>
          <w:p>
            <w:pPr>
              <w:keepLines w:val="0"/>
              <w:keepNext w:val="0"/>
              <w:pageBreakBefore w:val="0"/>
              <w:spacing w:before="62" w:after="62" w:line="340" w:lineRule="exact"/>
              <w:widowControl w:val="off"/>
              <w:rPr>
                <w:rFonts w:hint="default" w:ascii="Times New Roman" w:hAnsi="Times New Roman" w:eastAsia="宋体" w:cs="Times New Roman"/>
                <w:sz w:val="21"/>
                <w:szCs w:val="21"/>
                <w:lang w:eastAsia="zh-CN"/>
              </w:rPr>
            </w:pPr>
            <w:r>
              <w:rPr>
                <w:rFonts w:hint="default" w:ascii="Times New Roman" w:hAnsi="Times New Roman" w:eastAsia="宋体" w:cs="Times New Roman"/>
                <w:sz w:val="21"/>
                <w:szCs w:val="21"/>
                <w:lang w:val="en-US" w:eastAsia="zh-CN"/>
              </w:rPr>
              <w:t xml:space="preserve">①</w:t>
            </w:r>
            <w:r>
              <w:rPr>
                <w:rFonts w:hint="default" w:ascii="Times New Roman" w:hAnsi="Times New Roman" w:eastAsia="宋体" w:cs="Times New Roman"/>
                <w:sz w:val="21"/>
                <w:szCs w:val="21"/>
              </w:rPr>
              <w:t xml:space="preserve">方案描述全面合理符合采购需求的得</w:t>
            </w:r>
            <w:r>
              <w:rPr>
                <w:rFonts w:hint="default" w:ascii="Times New Roman" w:hAnsi="Times New Roman" w:eastAsia="宋体" w:cs="Times New Roman"/>
                <w:sz w:val="21"/>
                <w:szCs w:val="21"/>
                <w:lang w:val="en-US" w:eastAsia="zh-CN"/>
              </w:rPr>
              <w:t xml:space="preserve">12</w:t>
            </w:r>
            <w:r>
              <w:rPr>
                <w:rFonts w:hint="default" w:ascii="Times New Roman" w:hAnsi="Times New Roman" w:eastAsia="宋体" w:cs="Times New Roman"/>
                <w:sz w:val="21"/>
                <w:szCs w:val="21"/>
              </w:rPr>
              <w:t xml:space="preserve">分</w:t>
            </w:r>
            <w:r>
              <w:rPr>
                <w:rFonts w:hint="default" w:ascii="Times New Roman" w:hAnsi="Times New Roman" w:eastAsia="宋体" w:cs="Times New Roman"/>
                <w:sz w:val="21"/>
                <w:szCs w:val="21"/>
                <w:lang w:eastAsia="zh-CN"/>
              </w:rPr>
              <w:t xml:space="preserve">；</w:t>
            </w:r>
            <w:r/>
          </w:p>
          <w:p>
            <w:pPr>
              <w:keepLines w:val="0"/>
              <w:keepNext w:val="0"/>
              <w:pageBreakBefore w:val="0"/>
              <w:spacing w:before="62" w:after="62" w:line="340" w:lineRule="exact"/>
              <w:widowControl w:val="off"/>
              <w:rPr>
                <w:rFonts w:hint="default" w:ascii="Times New Roman" w:hAnsi="Times New Roman" w:eastAsia="宋体" w:cs="Times New Roman"/>
                <w:sz w:val="21"/>
                <w:szCs w:val="21"/>
                <w:lang w:eastAsia="zh-CN"/>
              </w:rPr>
            </w:pPr>
            <w:r>
              <w:rPr>
                <w:rFonts w:hint="default" w:ascii="Times New Roman" w:hAnsi="Times New Roman" w:eastAsia="宋体" w:cs="Times New Roman"/>
                <w:sz w:val="21"/>
                <w:szCs w:val="21"/>
                <w:lang w:val="en-US" w:eastAsia="zh-CN"/>
              </w:rPr>
              <w:t xml:space="preserve">②</w:t>
            </w:r>
            <w:r>
              <w:rPr>
                <w:rFonts w:hint="default" w:ascii="Times New Roman" w:hAnsi="Times New Roman" w:eastAsia="宋体" w:cs="Times New Roman"/>
                <w:sz w:val="21"/>
                <w:szCs w:val="21"/>
              </w:rPr>
              <w:t xml:space="preserve">每有一项内容缺失的扣</w:t>
            </w:r>
            <w:r>
              <w:rPr>
                <w:rFonts w:hint="default" w:ascii="Times New Roman" w:hAnsi="Times New Roman" w:eastAsia="宋体" w:cs="Times New Roman"/>
                <w:sz w:val="21"/>
                <w:szCs w:val="21"/>
                <w:lang w:val="en-US" w:eastAsia="zh-CN"/>
              </w:rPr>
              <w:t xml:space="preserve">2</w:t>
            </w:r>
            <w:r>
              <w:rPr>
                <w:rFonts w:hint="default" w:ascii="Times New Roman" w:hAnsi="Times New Roman" w:eastAsia="宋体" w:cs="Times New Roman"/>
                <w:sz w:val="21"/>
                <w:szCs w:val="21"/>
              </w:rPr>
              <w:t xml:space="preserve">分</w:t>
            </w:r>
            <w:r>
              <w:rPr>
                <w:rFonts w:hint="default" w:ascii="Times New Roman" w:hAnsi="Times New Roman" w:eastAsia="宋体" w:cs="Times New Roman"/>
                <w:sz w:val="21"/>
                <w:szCs w:val="21"/>
                <w:lang w:eastAsia="zh-CN"/>
              </w:rPr>
              <w:t xml:space="preserve">；</w:t>
            </w:r>
            <w:r/>
          </w:p>
          <w:p>
            <w:pPr>
              <w:keepLines w:val="0"/>
              <w:keepNext w:val="0"/>
              <w:pageBreakBefore w:val="0"/>
              <w:spacing w:before="62" w:after="62" w:line="340" w:lineRule="exact"/>
              <w:widowControl w:val="off"/>
              <w:rPr>
                <w:rFonts w:hint="eastAsia" w:ascii="Times New Roman" w:hAnsi="Times New Roman" w:eastAsia="宋体" w:cs="Times New Roman"/>
                <w:sz w:val="21"/>
                <w:szCs w:val="21"/>
                <w:lang w:eastAsia="zh-CN"/>
              </w:rPr>
            </w:pPr>
            <w:r>
              <w:rPr>
                <w:rFonts w:hint="default" w:ascii="Times New Roman" w:hAnsi="Times New Roman" w:eastAsia="宋体" w:cs="Times New Roman"/>
                <w:sz w:val="21"/>
                <w:szCs w:val="21"/>
                <w:lang w:val="en-US" w:eastAsia="zh-CN"/>
              </w:rPr>
              <w:t xml:space="preserve">③</w:t>
            </w:r>
            <w:r>
              <w:rPr>
                <w:rFonts w:hint="default" w:ascii="Times New Roman" w:hAnsi="Times New Roman" w:eastAsia="宋体" w:cs="Times New Roman"/>
                <w:sz w:val="21"/>
                <w:szCs w:val="21"/>
              </w:rPr>
              <w:t xml:space="preserve">每有一项内容存在缺陷（缺陷是指：内容与实际情况不符、内容与项目无关、内容表述错误、内容前后表述矛盾、内容与项目不匹配、项目信息错误、不符合本项目涉及的相关规范或标准要求等）的扣</w:t>
            </w:r>
            <w:r>
              <w:rPr>
                <w:rFonts w:hint="default" w:ascii="Times New Roman" w:hAnsi="Times New Roman" w:eastAsia="宋体" w:cs="Times New Roman"/>
                <w:sz w:val="21"/>
                <w:szCs w:val="21"/>
                <w:lang w:val="en-US" w:eastAsia="zh-CN"/>
              </w:rPr>
              <w:t xml:space="preserve">1</w:t>
            </w:r>
            <w:r>
              <w:rPr>
                <w:rFonts w:hint="default" w:ascii="Times New Roman" w:hAnsi="Times New Roman" w:eastAsia="宋体" w:cs="Times New Roman"/>
                <w:sz w:val="21"/>
                <w:szCs w:val="21"/>
              </w:rPr>
              <w:t xml:space="preserve">分，扣完为止</w:t>
            </w:r>
            <w:r>
              <w:rPr>
                <w:rFonts w:hint="eastAsia" w:ascii="Times New Roman" w:hAnsi="Times New Roman" w:eastAsia="宋体" w:cs="Times New Roman"/>
                <w:sz w:val="21"/>
                <w:szCs w:val="21"/>
                <w:lang w:val="en-US" w:eastAsia="zh-CN"/>
              </w:rPr>
              <w:t xml:space="preserve">；</w:t>
            </w:r>
            <w:r/>
          </w:p>
          <w:p>
            <w:pPr>
              <w:keepLines w:val="0"/>
              <w:keepNext w:val="0"/>
              <w:pageBreakBefore w:val="0"/>
              <w:spacing w:before="62" w:after="62" w:line="340" w:lineRule="exact"/>
              <w:widowControl w:val="off"/>
              <w:rPr>
                <w:rFonts w:hint="default" w:ascii="Times New Roman" w:hAnsi="Times New Roman" w:eastAsia="宋体" w:cs="Times New Roman"/>
                <w:sz w:val="21"/>
                <w:szCs w:val="21"/>
              </w:rPr>
            </w:pPr>
            <w:r>
              <w:rPr>
                <w:rFonts w:hint="eastAsia" w:ascii="宋体" w:hAnsi="宋体" w:eastAsia="宋体" w:cs="宋体"/>
                <w:sz w:val="21"/>
                <w:szCs w:val="21"/>
              </w:rPr>
              <w:t xml:space="preserve">④</w:t>
            </w:r>
            <w:r>
              <w:rPr>
                <w:rFonts w:hint="eastAsia" w:ascii="宋体" w:hAnsi="宋体" w:eastAsia="宋体" w:cs="宋体"/>
                <w:color w:val="000000"/>
                <w:sz w:val="21"/>
                <w:szCs w:val="21"/>
                <w:highlight w:val="none"/>
                <w:lang w:val="zh-TW" w:eastAsia="zh-TW" w:bidi="ar"/>
              </w:rPr>
              <w:t xml:space="preserve">未提供不得分。</w:t>
            </w:r>
            <w:r/>
          </w:p>
        </w:tc>
      </w:tr>
      <w:tr>
        <w:trPr>
          <w:jc w:val="center"/>
          <w:trHeight w:val="433"/>
        </w:trPr>
        <w:tc>
          <w:tcPr>
            <w:tcW w:w="427" w:type="dxa"/>
            <w:vAlign w:val="center"/>
            <w:textDirection w:val="lrTb"/>
            <w:noWrap w:val="false"/>
          </w:tcPr>
          <w:p>
            <w:pPr>
              <w:jc w:val="center"/>
              <w:keepLines w:val="0"/>
              <w:keepNext w:val="0"/>
              <w:pageBreakBefore w:val="0"/>
              <w:spacing w:before="62" w:after="62" w:line="340" w:lineRule="exact"/>
              <w:widowControl w:val="off"/>
              <w:rPr>
                <w:rFonts w:hint="default" w:ascii="Times New Roman" w:hAnsi="Times New Roman" w:eastAsia="宋体" w:cs="Times New Roman"/>
                <w:sz w:val="21"/>
                <w:szCs w:val="21"/>
              </w:rPr>
            </w:pPr>
            <w:r>
              <w:rPr>
                <w:rFonts w:hint="default" w:ascii="Times New Roman" w:hAnsi="Times New Roman" w:eastAsia="宋体" w:cs="Times New Roman"/>
                <w:sz w:val="21"/>
                <w:szCs w:val="21"/>
              </w:rPr>
              <w:t xml:space="preserve">6</w:t>
            </w:r>
            <w:r/>
          </w:p>
        </w:tc>
        <w:tc>
          <w:tcPr>
            <w:tcW w:w="1553" w:type="dxa"/>
            <w:vAlign w:val="center"/>
            <w:textDirection w:val="lrTb"/>
            <w:noWrap w:val="false"/>
          </w:tcPr>
          <w:p>
            <w:pPr>
              <w:jc w:val="center"/>
              <w:keepLines w:val="0"/>
              <w:keepNext w:val="0"/>
              <w:pageBreakBefore w:val="0"/>
              <w:spacing w:before="62" w:after="62" w:line="340" w:lineRule="exact"/>
              <w:widowControl w:val="off"/>
              <w:rPr>
                <w:rFonts w:hint="default" w:ascii="Times New Roman" w:hAnsi="Times New Roman" w:eastAsia="宋体" w:cs="Times New Roman"/>
                <w:sz w:val="21"/>
                <w:szCs w:val="21"/>
              </w:rPr>
            </w:pPr>
            <w:r>
              <w:rPr>
                <w:rFonts w:hint="default" w:ascii="Times New Roman" w:hAnsi="Times New Roman" w:eastAsia="宋体" w:cs="Times New Roman"/>
                <w:sz w:val="21"/>
                <w:szCs w:val="21"/>
              </w:rPr>
              <w:t xml:space="preserve">售后服务方案</w:t>
            </w:r>
            <w:r/>
          </w:p>
        </w:tc>
        <w:tc>
          <w:tcPr>
            <w:tcW w:w="709" w:type="dxa"/>
            <w:vAlign w:val="center"/>
            <w:textDirection w:val="lrTb"/>
            <w:noWrap w:val="false"/>
          </w:tcPr>
          <w:p>
            <w:pPr>
              <w:jc w:val="center"/>
              <w:keepLines w:val="0"/>
              <w:keepNext w:val="0"/>
              <w:pageBreakBefore w:val="0"/>
              <w:spacing w:before="62" w:after="62" w:line="340" w:lineRule="exact"/>
              <w:widowControl w:val="off"/>
              <w:rPr>
                <w:rFonts w:hint="default" w:ascii="Times New Roman" w:hAnsi="Times New Roman" w:eastAsia="宋体" w:cs="Times New Roman"/>
                <w:sz w:val="21"/>
                <w:szCs w:val="21"/>
                <w:lang w:eastAsia="zh-CN"/>
              </w:rPr>
            </w:pPr>
            <w:r>
              <w:rPr>
                <w:rFonts w:hint="default" w:ascii="Times New Roman" w:hAnsi="Times New Roman" w:eastAsia="宋体" w:cs="Times New Roman"/>
                <w:sz w:val="21"/>
                <w:szCs w:val="21"/>
                <w:lang w:val="en-US" w:eastAsia="zh-CN"/>
              </w:rPr>
              <w:t xml:space="preserve">6</w:t>
            </w:r>
            <w:r/>
          </w:p>
        </w:tc>
        <w:tc>
          <w:tcPr>
            <w:tcW w:w="6095" w:type="dxa"/>
            <w:vAlign w:val="center"/>
            <w:textDirection w:val="lrTb"/>
            <w:noWrap w:val="false"/>
          </w:tcPr>
          <w:p>
            <w:pPr>
              <w:keepLines w:val="0"/>
              <w:keepNext w:val="0"/>
              <w:pageBreakBefore w:val="0"/>
              <w:spacing w:before="62" w:after="62" w:line="340" w:lineRule="exact"/>
              <w:widowControl w:val="off"/>
              <w:rPr>
                <w:rFonts w:hint="default" w:ascii="Times New Roman" w:hAnsi="Times New Roman" w:eastAsia="宋体" w:cs="Times New Roman"/>
                <w:sz w:val="21"/>
                <w:szCs w:val="21"/>
                <w:lang w:eastAsia="zh-CN"/>
              </w:rPr>
            </w:pPr>
            <w:r>
              <w:rPr>
                <w:rFonts w:hint="default" w:ascii="Times New Roman" w:hAnsi="Times New Roman" w:eastAsia="宋体" w:cs="Times New Roman"/>
                <w:sz w:val="21"/>
                <w:szCs w:val="21"/>
              </w:rPr>
              <w:t xml:space="preserve">投标人根据项目需求提供售后服务方案，包括但不限于维护计划及承诺、定期巡检、故障维修流程等内容</w:t>
            </w:r>
            <w:r>
              <w:rPr>
                <w:rFonts w:hint="eastAsia" w:ascii="Times New Roman" w:hAnsi="Times New Roman" w:eastAsia="宋体" w:cs="Times New Roman"/>
                <w:sz w:val="21"/>
                <w:szCs w:val="21"/>
                <w:lang w:eastAsia="zh-CN"/>
              </w:rPr>
              <w:t xml:space="preserve">。</w:t>
            </w:r>
            <w:r>
              <w:rPr>
                <w:rFonts w:hint="default" w:ascii="Times New Roman" w:hAnsi="Times New Roman" w:eastAsia="宋体" w:cs="Times New Roman"/>
                <w:sz w:val="21"/>
                <w:szCs w:val="21"/>
              </w:rPr>
              <w:br/>
            </w:r>
            <w:r>
              <w:rPr>
                <w:rFonts w:hint="default" w:ascii="Times New Roman" w:hAnsi="Times New Roman" w:eastAsia="宋体" w:cs="Times New Roman"/>
                <w:sz w:val="21"/>
                <w:szCs w:val="21"/>
                <w:lang w:val="en-US" w:eastAsia="zh-CN"/>
              </w:rPr>
              <w:t xml:space="preserve">①</w:t>
            </w:r>
            <w:r>
              <w:rPr>
                <w:rFonts w:hint="default" w:ascii="Times New Roman" w:hAnsi="Times New Roman" w:eastAsia="宋体" w:cs="Times New Roman"/>
                <w:sz w:val="21"/>
                <w:szCs w:val="21"/>
              </w:rPr>
              <w:t xml:space="preserve">方案描述全面合理符合采购需求的得</w:t>
            </w:r>
            <w:r>
              <w:rPr>
                <w:rFonts w:hint="default" w:ascii="Times New Roman" w:hAnsi="Times New Roman" w:eastAsia="宋体" w:cs="Times New Roman"/>
                <w:sz w:val="21"/>
                <w:szCs w:val="21"/>
                <w:lang w:val="en-US" w:eastAsia="zh-CN"/>
              </w:rPr>
              <w:t xml:space="preserve">6</w:t>
            </w:r>
            <w:r>
              <w:rPr>
                <w:rFonts w:hint="default" w:ascii="Times New Roman" w:hAnsi="Times New Roman" w:eastAsia="宋体" w:cs="Times New Roman"/>
                <w:sz w:val="21"/>
                <w:szCs w:val="21"/>
              </w:rPr>
              <w:t xml:space="preserve">分</w:t>
            </w:r>
            <w:r>
              <w:rPr>
                <w:rFonts w:hint="default" w:ascii="Times New Roman" w:hAnsi="Times New Roman" w:eastAsia="宋体" w:cs="Times New Roman"/>
                <w:sz w:val="21"/>
                <w:szCs w:val="21"/>
                <w:lang w:eastAsia="zh-CN"/>
              </w:rPr>
              <w:t xml:space="preserve">；</w:t>
            </w:r>
            <w:r/>
          </w:p>
          <w:p>
            <w:pPr>
              <w:keepLines w:val="0"/>
              <w:keepNext w:val="0"/>
              <w:pageBreakBefore w:val="0"/>
              <w:spacing w:before="62" w:after="62" w:line="340" w:lineRule="exact"/>
              <w:widowControl w:val="off"/>
              <w:rPr>
                <w:rFonts w:hint="default" w:ascii="Times New Roman" w:hAnsi="Times New Roman" w:eastAsia="宋体" w:cs="Times New Roman"/>
                <w:sz w:val="21"/>
                <w:szCs w:val="21"/>
                <w:lang w:eastAsia="zh-CN"/>
              </w:rPr>
            </w:pPr>
            <w:r>
              <w:rPr>
                <w:rFonts w:hint="default" w:ascii="Times New Roman" w:hAnsi="Times New Roman" w:eastAsia="宋体" w:cs="Times New Roman"/>
                <w:sz w:val="21"/>
                <w:szCs w:val="21"/>
                <w:lang w:val="en-US" w:eastAsia="zh-CN"/>
              </w:rPr>
              <w:t xml:space="preserve">②</w:t>
            </w:r>
            <w:r>
              <w:rPr>
                <w:rFonts w:hint="default" w:ascii="Times New Roman" w:hAnsi="Times New Roman" w:eastAsia="宋体" w:cs="Times New Roman"/>
                <w:sz w:val="21"/>
                <w:szCs w:val="21"/>
              </w:rPr>
              <w:t xml:space="preserve">每有一项内容缺失的扣</w:t>
            </w:r>
            <w:r>
              <w:rPr>
                <w:rFonts w:hint="default" w:ascii="Times New Roman" w:hAnsi="Times New Roman" w:eastAsia="宋体" w:cs="Times New Roman"/>
                <w:sz w:val="21"/>
                <w:szCs w:val="21"/>
                <w:lang w:val="en-US" w:eastAsia="zh-CN"/>
              </w:rPr>
              <w:t xml:space="preserve">2</w:t>
            </w:r>
            <w:r>
              <w:rPr>
                <w:rFonts w:hint="default" w:ascii="Times New Roman" w:hAnsi="Times New Roman" w:eastAsia="宋体" w:cs="Times New Roman"/>
                <w:sz w:val="21"/>
                <w:szCs w:val="21"/>
              </w:rPr>
              <w:t xml:space="preserve">分</w:t>
            </w:r>
            <w:r>
              <w:rPr>
                <w:rFonts w:hint="default" w:ascii="Times New Roman" w:hAnsi="Times New Roman" w:eastAsia="宋体" w:cs="Times New Roman"/>
                <w:sz w:val="21"/>
                <w:szCs w:val="21"/>
                <w:lang w:eastAsia="zh-CN"/>
              </w:rPr>
              <w:t xml:space="preserve">；</w:t>
            </w:r>
            <w:r/>
          </w:p>
          <w:p>
            <w:pPr>
              <w:keepLines w:val="0"/>
              <w:keepNext w:val="0"/>
              <w:pageBreakBefore w:val="0"/>
              <w:spacing w:before="62" w:after="62" w:line="340" w:lineRule="exact"/>
              <w:widowControl w:val="off"/>
              <w:rPr>
                <w:rFonts w:hint="eastAsia" w:ascii="Times New Roman" w:hAnsi="Times New Roman" w:eastAsia="宋体" w:cs="Times New Roman"/>
                <w:sz w:val="21"/>
                <w:szCs w:val="21"/>
                <w:lang w:eastAsia="zh-CN"/>
              </w:rPr>
            </w:pPr>
            <w:r>
              <w:rPr>
                <w:rFonts w:hint="default" w:ascii="Times New Roman" w:hAnsi="Times New Roman" w:eastAsia="宋体" w:cs="Times New Roman"/>
                <w:sz w:val="21"/>
                <w:szCs w:val="21"/>
                <w:lang w:val="en-US" w:eastAsia="zh-CN"/>
              </w:rPr>
              <w:t xml:space="preserve">③</w:t>
            </w:r>
            <w:r>
              <w:rPr>
                <w:rFonts w:hint="default" w:ascii="Times New Roman" w:hAnsi="Times New Roman" w:eastAsia="宋体" w:cs="Times New Roman"/>
                <w:sz w:val="21"/>
                <w:szCs w:val="21"/>
              </w:rPr>
              <w:t xml:space="preserve">每有一项内容存在缺陷（缺陷是指：内容与实际情况不符、内容与项目无关、内容表述错误、内容前后表述矛盾、内容与项目不匹配、项目信息错误、不符合本项目涉及的相关规范或标准要求等）的扣</w:t>
            </w:r>
            <w:r>
              <w:rPr>
                <w:rFonts w:hint="default" w:ascii="Times New Roman" w:hAnsi="Times New Roman" w:eastAsia="宋体" w:cs="Times New Roman"/>
                <w:sz w:val="21"/>
                <w:szCs w:val="21"/>
                <w:lang w:val="en-US" w:eastAsia="zh-CN"/>
              </w:rPr>
              <w:t xml:space="preserve">1</w:t>
            </w:r>
            <w:r>
              <w:rPr>
                <w:rFonts w:hint="default" w:ascii="Times New Roman" w:hAnsi="Times New Roman" w:eastAsia="宋体" w:cs="Times New Roman"/>
                <w:sz w:val="21"/>
                <w:szCs w:val="21"/>
              </w:rPr>
              <w:t xml:space="preserve">分，扣完为止</w:t>
            </w:r>
            <w:r>
              <w:rPr>
                <w:rFonts w:hint="eastAsia" w:ascii="Times New Roman" w:hAnsi="Times New Roman" w:eastAsia="宋体" w:cs="Times New Roman"/>
                <w:sz w:val="21"/>
                <w:szCs w:val="21"/>
                <w:lang w:val="en-US" w:eastAsia="zh-CN"/>
              </w:rPr>
              <w:t xml:space="preserve">；</w:t>
            </w:r>
            <w:r/>
          </w:p>
          <w:p>
            <w:pPr>
              <w:keepLines w:val="0"/>
              <w:keepNext w:val="0"/>
              <w:pageBreakBefore w:val="0"/>
              <w:spacing w:before="62" w:after="62" w:line="340" w:lineRule="exact"/>
              <w:widowControl w:val="off"/>
              <w:rPr>
                <w:rFonts w:hint="default" w:ascii="Times New Roman" w:hAnsi="Times New Roman" w:eastAsia="宋体" w:cs="Times New Roman"/>
                <w:sz w:val="21"/>
                <w:szCs w:val="21"/>
              </w:rPr>
            </w:pPr>
            <w:r>
              <w:rPr>
                <w:rFonts w:hint="eastAsia" w:ascii="宋体" w:hAnsi="宋体" w:eastAsia="宋体" w:cs="宋体"/>
                <w:sz w:val="21"/>
                <w:szCs w:val="21"/>
              </w:rPr>
              <w:t xml:space="preserve">④</w:t>
            </w:r>
            <w:r>
              <w:rPr>
                <w:rFonts w:hint="eastAsia" w:ascii="宋体" w:hAnsi="宋体" w:eastAsia="宋体" w:cs="宋体"/>
                <w:color w:val="000000"/>
                <w:sz w:val="21"/>
                <w:szCs w:val="21"/>
                <w:highlight w:val="none"/>
                <w:lang w:val="zh-TW" w:eastAsia="zh-TW" w:bidi="ar"/>
              </w:rPr>
              <w:t xml:space="preserve">未提供不得分。</w:t>
            </w:r>
            <w:r/>
          </w:p>
        </w:tc>
      </w:tr>
      <w:tr>
        <w:trPr>
          <w:jc w:val="center"/>
          <w:trHeight w:val="3203"/>
        </w:trPr>
        <w:tc>
          <w:tcPr>
            <w:tcW w:w="427" w:type="dxa"/>
            <w:vAlign w:val="center"/>
            <w:textDirection w:val="lrTb"/>
            <w:noWrap w:val="false"/>
          </w:tcPr>
          <w:p>
            <w:pPr>
              <w:keepLines w:val="0"/>
              <w:keepNext w:val="0"/>
              <w:pageBreakBefore w:val="0"/>
              <w:spacing w:before="62" w:after="62" w:line="340" w:lineRule="exact"/>
              <w:widowControl w:val="off"/>
              <w:rPr>
                <w:rFonts w:hint="default" w:ascii="Times New Roman" w:hAnsi="Times New Roman" w:eastAsia="宋体" w:cs="Times New Roman"/>
                <w:sz w:val="21"/>
                <w:szCs w:val="21"/>
              </w:rPr>
            </w:pPr>
            <w:r>
              <w:rPr>
                <w:rFonts w:hint="default" w:ascii="Times New Roman" w:hAnsi="Times New Roman" w:eastAsia="宋体" w:cs="Times New Roman"/>
                <w:sz w:val="21"/>
                <w:szCs w:val="21"/>
              </w:rPr>
              <w:t xml:space="preserve">7</w:t>
            </w:r>
            <w:r/>
          </w:p>
        </w:tc>
        <w:tc>
          <w:tcPr>
            <w:tcW w:w="1553" w:type="dxa"/>
            <w:vAlign w:val="center"/>
            <w:textDirection w:val="lrTb"/>
            <w:noWrap w:val="false"/>
          </w:tcPr>
          <w:p>
            <w:pPr>
              <w:jc w:val="center"/>
              <w:keepLines w:val="0"/>
              <w:keepNext w:val="0"/>
              <w:pageBreakBefore w:val="0"/>
              <w:spacing w:before="62" w:after="62" w:line="340" w:lineRule="exact"/>
              <w:widowControl w:val="off"/>
              <w:rPr>
                <w:rFonts w:hint="default" w:ascii="Times New Roman" w:hAnsi="Times New Roman" w:eastAsia="宋体" w:cs="Times New Roman"/>
                <w:sz w:val="21"/>
                <w:szCs w:val="21"/>
              </w:rPr>
            </w:pPr>
            <w:r>
              <w:rPr>
                <w:rFonts w:hint="default" w:ascii="Times New Roman" w:hAnsi="Times New Roman" w:eastAsia="宋体" w:cs="Times New Roman"/>
                <w:sz w:val="21"/>
                <w:szCs w:val="21"/>
              </w:rPr>
              <w:t xml:space="preserve">培训方案</w:t>
            </w:r>
            <w:r/>
          </w:p>
        </w:tc>
        <w:tc>
          <w:tcPr>
            <w:tcW w:w="709" w:type="dxa"/>
            <w:vAlign w:val="center"/>
            <w:textDirection w:val="lrTb"/>
            <w:noWrap w:val="false"/>
          </w:tcPr>
          <w:p>
            <w:pPr>
              <w:jc w:val="center"/>
              <w:keepLines w:val="0"/>
              <w:keepNext w:val="0"/>
              <w:pageBreakBefore w:val="0"/>
              <w:spacing w:before="62" w:after="62" w:line="340" w:lineRule="exact"/>
              <w:widowControl w:val="off"/>
              <w:rPr>
                <w:rFonts w:hint="default" w:ascii="Times New Roman" w:hAnsi="Times New Roman" w:eastAsia="宋体" w:cs="Times New Roman"/>
                <w:sz w:val="21"/>
                <w:szCs w:val="21"/>
                <w:lang w:eastAsia="zh-CN"/>
              </w:rPr>
            </w:pPr>
            <w:r>
              <w:rPr>
                <w:rFonts w:hint="default" w:ascii="Times New Roman" w:hAnsi="Times New Roman" w:eastAsia="宋体" w:cs="Times New Roman"/>
                <w:sz w:val="21"/>
                <w:szCs w:val="21"/>
                <w:lang w:val="en-US" w:eastAsia="zh-CN"/>
              </w:rPr>
              <w:t xml:space="preserve">6</w:t>
            </w:r>
            <w:r/>
          </w:p>
        </w:tc>
        <w:tc>
          <w:tcPr>
            <w:tcW w:w="6095" w:type="dxa"/>
            <w:vAlign w:val="center"/>
            <w:textDirection w:val="lrTb"/>
            <w:noWrap w:val="false"/>
          </w:tcPr>
          <w:p>
            <w:pPr>
              <w:keepLines w:val="0"/>
              <w:keepNext w:val="0"/>
              <w:pageBreakBefore w:val="0"/>
              <w:spacing w:before="62" w:after="62" w:line="340" w:lineRule="exact"/>
              <w:widowControl w:val="off"/>
              <w:rPr>
                <w:rFonts w:hint="default" w:ascii="Times New Roman" w:hAnsi="Times New Roman" w:eastAsia="宋体" w:cs="Times New Roman"/>
                <w:sz w:val="21"/>
                <w:szCs w:val="21"/>
                <w:lang w:eastAsia="zh-CN"/>
              </w:rPr>
            </w:pPr>
            <w:r>
              <w:rPr>
                <w:rFonts w:hint="default" w:ascii="Times New Roman" w:hAnsi="Times New Roman" w:eastAsia="宋体" w:cs="Times New Roman"/>
                <w:sz w:val="21"/>
                <w:szCs w:val="21"/>
              </w:rPr>
              <w:t xml:space="preserve">根据投标人提供的培训方案进行评分，包括但不限于培训计划、培训内容、培训对象等内容</w:t>
            </w:r>
            <w:r>
              <w:rPr>
                <w:rFonts w:hint="eastAsia" w:ascii="Times New Roman" w:hAnsi="Times New Roman" w:eastAsia="宋体" w:cs="Times New Roman"/>
                <w:sz w:val="21"/>
                <w:szCs w:val="21"/>
                <w:lang w:eastAsia="zh-CN"/>
              </w:rPr>
              <w:t xml:space="preserve">。</w:t>
            </w:r>
            <w:r>
              <w:rPr>
                <w:rFonts w:hint="default" w:ascii="Times New Roman" w:hAnsi="Times New Roman" w:eastAsia="宋体" w:cs="Times New Roman"/>
                <w:sz w:val="21"/>
                <w:szCs w:val="21"/>
              </w:rPr>
              <w:br/>
            </w:r>
            <w:r>
              <w:rPr>
                <w:rFonts w:hint="default" w:ascii="Times New Roman" w:hAnsi="Times New Roman" w:eastAsia="宋体" w:cs="Times New Roman"/>
                <w:sz w:val="21"/>
                <w:szCs w:val="21"/>
                <w:lang w:val="en-US" w:eastAsia="zh-CN"/>
              </w:rPr>
              <w:t xml:space="preserve">①</w:t>
            </w:r>
            <w:r>
              <w:rPr>
                <w:rFonts w:hint="default" w:ascii="Times New Roman" w:hAnsi="Times New Roman" w:eastAsia="宋体" w:cs="Times New Roman"/>
                <w:sz w:val="21"/>
                <w:szCs w:val="21"/>
              </w:rPr>
              <w:t xml:space="preserve">方案描述全面合理符合采购需求的得</w:t>
            </w:r>
            <w:r>
              <w:rPr>
                <w:rFonts w:hint="default" w:ascii="Times New Roman" w:hAnsi="Times New Roman" w:eastAsia="宋体" w:cs="Times New Roman"/>
                <w:sz w:val="21"/>
                <w:szCs w:val="21"/>
                <w:lang w:val="en-US" w:eastAsia="zh-CN"/>
              </w:rPr>
              <w:t xml:space="preserve">6</w:t>
            </w:r>
            <w:r>
              <w:rPr>
                <w:rFonts w:hint="default" w:ascii="Times New Roman" w:hAnsi="Times New Roman" w:eastAsia="宋体" w:cs="Times New Roman"/>
                <w:sz w:val="21"/>
                <w:szCs w:val="21"/>
              </w:rPr>
              <w:t xml:space="preserve">分</w:t>
            </w:r>
            <w:r>
              <w:rPr>
                <w:rFonts w:hint="default" w:ascii="Times New Roman" w:hAnsi="Times New Roman" w:eastAsia="宋体" w:cs="Times New Roman"/>
                <w:sz w:val="21"/>
                <w:szCs w:val="21"/>
                <w:lang w:eastAsia="zh-CN"/>
              </w:rPr>
              <w:t xml:space="preserve">；</w:t>
            </w:r>
            <w:r/>
          </w:p>
          <w:p>
            <w:pPr>
              <w:keepLines w:val="0"/>
              <w:keepNext w:val="0"/>
              <w:pageBreakBefore w:val="0"/>
              <w:spacing w:before="62" w:after="62" w:line="340" w:lineRule="exact"/>
              <w:widowControl w:val="off"/>
              <w:rPr>
                <w:rFonts w:hint="default" w:ascii="Times New Roman" w:hAnsi="Times New Roman" w:eastAsia="宋体" w:cs="Times New Roman"/>
                <w:sz w:val="21"/>
                <w:szCs w:val="21"/>
                <w:lang w:eastAsia="zh-CN"/>
              </w:rPr>
            </w:pPr>
            <w:r>
              <w:rPr>
                <w:rFonts w:hint="default" w:ascii="Times New Roman" w:hAnsi="Times New Roman" w:eastAsia="宋体" w:cs="Times New Roman"/>
                <w:sz w:val="21"/>
                <w:szCs w:val="21"/>
                <w:lang w:val="en-US" w:eastAsia="zh-CN"/>
              </w:rPr>
              <w:t xml:space="preserve">②</w:t>
            </w:r>
            <w:r>
              <w:rPr>
                <w:rFonts w:hint="default" w:ascii="Times New Roman" w:hAnsi="Times New Roman" w:eastAsia="宋体" w:cs="Times New Roman"/>
                <w:sz w:val="21"/>
                <w:szCs w:val="21"/>
              </w:rPr>
              <w:t xml:space="preserve">每有一项内容缺失的扣</w:t>
            </w:r>
            <w:r>
              <w:rPr>
                <w:rFonts w:hint="default" w:ascii="Times New Roman" w:hAnsi="Times New Roman" w:eastAsia="宋体" w:cs="Times New Roman"/>
                <w:sz w:val="21"/>
                <w:szCs w:val="21"/>
                <w:lang w:val="en-US" w:eastAsia="zh-CN"/>
              </w:rPr>
              <w:t xml:space="preserve">2</w:t>
            </w:r>
            <w:r>
              <w:rPr>
                <w:rFonts w:hint="default" w:ascii="Times New Roman" w:hAnsi="Times New Roman" w:eastAsia="宋体" w:cs="Times New Roman"/>
                <w:sz w:val="21"/>
                <w:szCs w:val="21"/>
              </w:rPr>
              <w:t xml:space="preserve">分</w:t>
            </w:r>
            <w:r>
              <w:rPr>
                <w:rFonts w:hint="default" w:ascii="Times New Roman" w:hAnsi="Times New Roman" w:eastAsia="宋体" w:cs="Times New Roman"/>
                <w:sz w:val="21"/>
                <w:szCs w:val="21"/>
                <w:lang w:eastAsia="zh-CN"/>
              </w:rPr>
              <w:t xml:space="preserve">；</w:t>
            </w:r>
            <w:r/>
          </w:p>
          <w:p>
            <w:pPr>
              <w:keepLines w:val="0"/>
              <w:keepNext w:val="0"/>
              <w:pageBreakBefore w:val="0"/>
              <w:spacing w:before="62" w:after="62" w:line="340" w:lineRule="exact"/>
              <w:widowControl w:val="off"/>
              <w:rPr>
                <w:rFonts w:hint="eastAsia" w:ascii="Times New Roman" w:hAnsi="Times New Roman" w:eastAsia="宋体" w:cs="Times New Roman"/>
                <w:sz w:val="21"/>
                <w:szCs w:val="21"/>
                <w:lang w:eastAsia="zh-CN"/>
              </w:rPr>
            </w:pPr>
            <w:r>
              <w:rPr>
                <w:rFonts w:hint="default" w:ascii="Times New Roman" w:hAnsi="Times New Roman" w:eastAsia="宋体" w:cs="Times New Roman"/>
                <w:sz w:val="21"/>
                <w:szCs w:val="21"/>
                <w:lang w:val="en-US" w:eastAsia="zh-CN"/>
              </w:rPr>
              <w:t xml:space="preserve">③</w:t>
            </w:r>
            <w:r>
              <w:rPr>
                <w:rFonts w:hint="default" w:ascii="Times New Roman" w:hAnsi="Times New Roman" w:eastAsia="宋体" w:cs="Times New Roman"/>
                <w:sz w:val="21"/>
                <w:szCs w:val="21"/>
              </w:rPr>
              <w:t xml:space="preserve">每有一项内容存在缺陷（缺陷是指：内容与实际情况不符、内容与项目无关、内容表述错误、内容前后表述矛盾、内容与项目不匹配、项目信息错误、不符合本项目涉及的相关规范或标准要求等）的扣</w:t>
            </w:r>
            <w:r>
              <w:rPr>
                <w:rFonts w:hint="default" w:ascii="Times New Roman" w:hAnsi="Times New Roman" w:eastAsia="宋体" w:cs="Times New Roman"/>
                <w:sz w:val="21"/>
                <w:szCs w:val="21"/>
                <w:lang w:val="en-US" w:eastAsia="zh-CN"/>
              </w:rPr>
              <w:t xml:space="preserve">1</w:t>
            </w:r>
            <w:r>
              <w:rPr>
                <w:rFonts w:hint="default" w:ascii="Times New Roman" w:hAnsi="Times New Roman" w:eastAsia="宋体" w:cs="Times New Roman"/>
                <w:sz w:val="21"/>
                <w:szCs w:val="21"/>
              </w:rPr>
              <w:t xml:space="preserve">分，扣完为止</w:t>
            </w:r>
            <w:r>
              <w:rPr>
                <w:rFonts w:hint="eastAsia" w:ascii="Times New Roman" w:hAnsi="Times New Roman" w:eastAsia="宋体" w:cs="Times New Roman"/>
                <w:sz w:val="21"/>
                <w:szCs w:val="21"/>
                <w:lang w:val="en-US" w:eastAsia="zh-CN"/>
              </w:rPr>
              <w:t xml:space="preserve">；</w:t>
            </w:r>
            <w:r/>
          </w:p>
          <w:p>
            <w:pPr>
              <w:keepLines w:val="0"/>
              <w:keepNext w:val="0"/>
              <w:pageBreakBefore w:val="0"/>
              <w:spacing w:before="62" w:after="62" w:line="340" w:lineRule="exact"/>
              <w:widowControl w:val="off"/>
              <w:rPr>
                <w:rFonts w:hint="default" w:ascii="Times New Roman" w:hAnsi="Times New Roman" w:eastAsia="宋体" w:cs="Times New Roman"/>
                <w:sz w:val="21"/>
                <w:szCs w:val="21"/>
              </w:rPr>
            </w:pPr>
            <w:r>
              <w:rPr>
                <w:rFonts w:hint="eastAsia" w:ascii="宋体" w:hAnsi="宋体" w:eastAsia="宋体" w:cs="宋体"/>
                <w:sz w:val="21"/>
                <w:szCs w:val="21"/>
              </w:rPr>
              <w:t xml:space="preserve">④</w:t>
            </w:r>
            <w:r>
              <w:rPr>
                <w:rFonts w:hint="eastAsia" w:ascii="宋体" w:hAnsi="宋体" w:eastAsia="宋体" w:cs="宋体"/>
                <w:color w:val="000000"/>
                <w:sz w:val="21"/>
                <w:szCs w:val="21"/>
                <w:highlight w:val="none"/>
                <w:lang w:val="zh-TW" w:eastAsia="zh-TW" w:bidi="ar"/>
              </w:rPr>
              <w:t xml:space="preserve">未提供不得分。</w:t>
            </w:r>
            <w:r/>
          </w:p>
        </w:tc>
      </w:tr>
      <w:tr>
        <w:trPr>
          <w:jc w:val="center"/>
          <w:trHeight w:val="3484"/>
        </w:trPr>
        <w:tc>
          <w:tcPr>
            <w:tcW w:w="427" w:type="dxa"/>
            <w:vAlign w:val="center"/>
            <w:textDirection w:val="lrTb"/>
            <w:noWrap w:val="false"/>
          </w:tcPr>
          <w:p>
            <w:pPr>
              <w:keepLines w:val="0"/>
              <w:keepNext w:val="0"/>
              <w:pageBreakBefore w:val="0"/>
              <w:spacing w:before="62" w:after="62" w:line="340" w:lineRule="exact"/>
              <w:widowControl w:val="off"/>
              <w:rPr>
                <w:rFonts w:hint="default" w:ascii="Times New Roman" w:hAnsi="Times New Roman" w:eastAsia="宋体" w:cs="Times New Roman"/>
                <w:sz w:val="21"/>
                <w:szCs w:val="21"/>
                <w:lang w:val="en-US" w:eastAsia="zh-CN"/>
              </w:rPr>
            </w:pPr>
            <w:r>
              <w:rPr>
                <w:rFonts w:hint="default" w:ascii="Times New Roman" w:hAnsi="Times New Roman" w:eastAsia="宋体" w:cs="Times New Roman"/>
                <w:sz w:val="21"/>
                <w:szCs w:val="21"/>
                <w:lang w:val="en-US" w:eastAsia="zh-CN"/>
              </w:rPr>
              <w:t xml:space="preserve">8</w:t>
            </w:r>
            <w:r/>
          </w:p>
        </w:tc>
        <w:tc>
          <w:tcPr>
            <w:tcW w:w="1553" w:type="dxa"/>
            <w:vAlign w:val="center"/>
            <w:textDirection w:val="lrTb"/>
            <w:noWrap w:val="false"/>
          </w:tcPr>
          <w:p>
            <w:pPr>
              <w:jc w:val="center"/>
              <w:keepLines w:val="0"/>
              <w:keepNext w:val="0"/>
              <w:pageBreakBefore w:val="0"/>
              <w:spacing w:before="62" w:after="62" w:line="340" w:lineRule="exact"/>
              <w:widowControl w:val="off"/>
              <w:rPr>
                <w:rFonts w:hint="default" w:ascii="Times New Roman" w:hAnsi="Times New Roman" w:eastAsia="宋体" w:cs="Times New Roman"/>
                <w:sz w:val="21"/>
                <w:szCs w:val="21"/>
              </w:rPr>
            </w:pPr>
            <w:r>
              <w:rPr>
                <w:rFonts w:hint="default" w:ascii="Times New Roman" w:hAnsi="Times New Roman" w:eastAsia="宋体" w:cs="Times New Roman"/>
                <w:color w:val="000000"/>
                <w:sz w:val="21"/>
                <w:szCs w:val="21"/>
              </w:rPr>
              <w:t xml:space="preserve">节能环保</w:t>
            </w:r>
            <w:r/>
          </w:p>
        </w:tc>
        <w:tc>
          <w:tcPr>
            <w:tcW w:w="709" w:type="dxa"/>
            <w:vAlign w:val="center"/>
            <w:textDirection w:val="lrTb"/>
            <w:noWrap w:val="false"/>
          </w:tcPr>
          <w:p>
            <w:pPr>
              <w:jc w:val="center"/>
              <w:keepLines w:val="0"/>
              <w:keepNext w:val="0"/>
              <w:pageBreakBefore w:val="0"/>
              <w:spacing w:before="62" w:after="62" w:line="340" w:lineRule="exact"/>
              <w:widowControl w:val="off"/>
              <w:rPr>
                <w:rFonts w:hint="default" w:ascii="Times New Roman" w:hAnsi="Times New Roman" w:eastAsia="宋体" w:cs="Times New Roman"/>
                <w:sz w:val="21"/>
                <w:szCs w:val="21"/>
                <w:lang w:val="en-US" w:eastAsia="zh-CN"/>
              </w:rPr>
            </w:pPr>
            <w:r>
              <w:rPr>
                <w:rFonts w:hint="default" w:ascii="Times New Roman" w:hAnsi="Times New Roman" w:eastAsia="宋体" w:cs="Times New Roman"/>
                <w:sz w:val="21"/>
                <w:szCs w:val="21"/>
                <w:lang w:val="en-US" w:eastAsia="zh-CN"/>
              </w:rPr>
              <w:t xml:space="preserve">2</w:t>
            </w:r>
            <w:r/>
          </w:p>
        </w:tc>
        <w:tc>
          <w:tcPr>
            <w:tcW w:w="6095" w:type="dxa"/>
            <w:vAlign w:val="center"/>
            <w:textDirection w:val="lrTb"/>
            <w:noWrap w:val="false"/>
          </w:tcPr>
          <w:p>
            <w:pPr>
              <w:ind w:left="0" w:right="0" w:firstLine="0"/>
              <w:jc w:val="both"/>
              <w:keepLines w:val="0"/>
              <w:keepNext w:val="0"/>
              <w:pageBreakBefore w:val="0"/>
              <w:spacing w:before="0" w:after="0" w:line="340" w:lineRule="exact"/>
              <w:widowControl w:val="off"/>
              <w:rPr>
                <w:rFonts w:hint="default" w:ascii="Times New Roman" w:hAnsi="Times New Roman" w:cs="Times New Roman"/>
                <w:sz w:val="21"/>
                <w:szCs w:val="21"/>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000000"/>
                <w:sz w:val="21"/>
                <w:szCs w:val="21"/>
              </w:rPr>
              <w:t xml:space="preserve">1、响应产品属于财政部、国家发改委公布的“节能产品品目清单”范围内的，供应商提供国家确定的认证机构出具的、处于有效期之内的该节能产品认证证书复印件的，有1个得0.5分，最多得1分。如响应产品均属于政府强制采购节能产品品目清单范围内，本项不得分。</w:t>
            </w:r>
            <w:r/>
          </w:p>
          <w:p>
            <w:pPr>
              <w:keepLines w:val="0"/>
              <w:keepNext w:val="0"/>
              <w:pageBreakBefore w:val="0"/>
              <w:spacing w:before="62" w:after="62" w:line="340" w:lineRule="exact"/>
              <w:widowControl w:val="off"/>
              <w:rPr>
                <w:rFonts w:hint="default" w:ascii="Times New Roman" w:hAnsi="Times New Roman" w:eastAsia="宋体" w:cs="Times New Roman"/>
                <w:sz w:val="21"/>
                <w:szCs w:val="21"/>
              </w:rPr>
            </w:pPr>
            <w:r>
              <w:rPr>
                <w:rFonts w:hint="default" w:ascii="Times New Roman" w:hAnsi="Times New Roman" w:eastAsia="宋体" w:cs="Times New Roman"/>
                <w:color w:val="000000"/>
                <w:sz w:val="21"/>
                <w:szCs w:val="21"/>
              </w:rPr>
              <w:t xml:space="preserve">2、响应产品属于财政部、生态环境部公布的“环境标志产品品目清单”范围内的，供应商提供国家确定的认证机构出具的、处于有效期内的该环保产品认证证书复印件的，有1个得0.5分，最多得1分。</w:t>
            </w:r>
            <w:r/>
          </w:p>
        </w:tc>
      </w:tr>
    </w:tbl>
    <w:p>
      <w:pPr>
        <w:ind w:firstLine="482"/>
        <w:jc w:val="left"/>
        <w:keepLines w:val="0"/>
        <w:keepNext w:val="0"/>
        <w:pageBreakBefore w:val="0"/>
        <w:spacing w:after="157" w:line="480" w:lineRule="exact"/>
        <w:widowControl w:val="off"/>
        <w:rPr>
          <w:rFonts w:hint="eastAsia" w:ascii="宋体" w:hAnsi="宋体" w:cs="宋体"/>
          <w:b/>
          <w:bCs/>
          <w:sz w:val="24"/>
          <w:szCs w:val="24"/>
        </w:rPr>
      </w:pPr>
      <w:r>
        <w:rPr>
          <w:rFonts w:hint="eastAsia" w:ascii="宋体" w:hAnsi="宋体" w:cs="宋体"/>
          <w:b/>
          <w:bCs/>
          <w:sz w:val="24"/>
          <w:szCs w:val="24"/>
        </w:rPr>
      </w:r>
      <w:r/>
    </w:p>
    <w:p>
      <w:pPr>
        <w:pStyle w:val="856"/>
        <w:ind w:firstLine="480"/>
        <w:jc w:val="both"/>
        <w:spacing w:before="120" w:beforeAutospacing="0" w:after="120" w:afterAutospacing="0" w:line="0" w:lineRule="atLeast"/>
        <w:rPr>
          <w:rFonts w:hint="eastAsia" w:ascii="宋体" w:hAnsi="宋体" w:eastAsia="宋体" w:cs="宋体"/>
          <w:sz w:val="24"/>
          <w:szCs w:val="24"/>
          <w:highlight w:val="none"/>
        </w:rPr>
      </w:pPr>
      <w:r>
        <w:rPr>
          <w:rFonts w:hint="eastAsia" w:ascii="宋体" w:hAnsi="宋体" w:eastAsia="宋体" w:cs="宋体"/>
          <w:sz w:val="24"/>
          <w:szCs w:val="24"/>
          <w:highlight w:val="none"/>
        </w:rPr>
      </w:r>
      <w:r/>
    </w:p>
    <w:p>
      <w:pPr>
        <w:pStyle w:val="856"/>
        <w:jc w:val="center"/>
        <w:keepNext/>
        <w:spacing w:beforeAutospacing="0" w:afterAutospacing="0"/>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 </w:t>
      </w:r>
      <w:r/>
    </w:p>
    <w:p>
      <w:pP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br w:type="page" w:clear="all"/>
      </w:r>
      <w:r/>
    </w:p>
    <w:p>
      <w:pPr>
        <w:pStyle w:val="856"/>
        <w:jc w:val="center"/>
        <w:keepNext/>
        <w:spacing w:beforeAutospacing="0" w:afterAutospacing="0"/>
        <w:rPr>
          <w:highlight w:val="none"/>
        </w:rPr>
      </w:pPr>
      <w:r>
        <w:rPr>
          <w:rFonts w:hint="eastAsia" w:ascii="黑体" w:hAnsi="宋体" w:eastAsia="黑体" w:cs="黑体"/>
          <w:color w:val="000000"/>
          <w:sz w:val="44"/>
          <w:szCs w:val="44"/>
          <w:highlight w:val="none"/>
        </w:rPr>
        <w:t xml:space="preserve">第六章  投标文件格式 </w:t>
      </w:r>
      <w:r/>
    </w:p>
    <w:p>
      <w:pPr>
        <w:pStyle w:val="856"/>
        <w:jc w:val="center"/>
        <w:spacing w:beforeAutospacing="0" w:afterAutospacing="0"/>
        <w:rPr>
          <w:rFonts w:hint="eastAsia" w:ascii="宋体" w:hAnsi="宋体" w:eastAsia="宋体" w:cs="宋体"/>
          <w:b/>
          <w:color w:val="000000"/>
          <w:sz w:val="72"/>
          <w:szCs w:val="72"/>
          <w:highlight w:val="none"/>
        </w:rPr>
      </w:pPr>
      <w:r/>
      <w:bookmarkStart w:id="182" w:name="_Toc49090576"/>
      <w:r/>
      <w:bookmarkEnd w:id="182"/>
      <w:r/>
      <w:bookmarkStart w:id="183" w:name="_Toc120614282"/>
      <w:r/>
      <w:bookmarkEnd w:id="183"/>
      <w:r/>
      <w:bookmarkStart w:id="184" w:name="_Hlt26955039"/>
      <w:r/>
      <w:bookmarkStart w:id="185" w:name="_Toc26554094"/>
      <w:r/>
      <w:bookmarkStart w:id="186" w:name="_Hlt26671244"/>
      <w:r/>
      <w:r/>
    </w:p>
    <w:p>
      <w:pPr>
        <w:pStyle w:val="856"/>
        <w:jc w:val="center"/>
        <w:spacing w:beforeAutospacing="0" w:afterAutospacing="0"/>
        <w:rPr>
          <w:rFonts w:hint="eastAsia" w:ascii="宋体" w:hAnsi="宋体" w:eastAsia="宋体" w:cs="宋体"/>
          <w:b/>
          <w:color w:val="000000"/>
          <w:sz w:val="72"/>
          <w:szCs w:val="72"/>
          <w:highlight w:val="none"/>
        </w:rPr>
      </w:pPr>
      <w:r>
        <w:rPr>
          <w:rFonts w:hint="eastAsia" w:ascii="宋体" w:hAnsi="宋体" w:eastAsia="宋体" w:cs="宋体"/>
          <w:b/>
          <w:color w:val="000000"/>
          <w:sz w:val="72"/>
          <w:szCs w:val="72"/>
          <w:highlight w:val="none"/>
        </w:rPr>
      </w:r>
      <w:r/>
    </w:p>
    <w:p>
      <w:pPr>
        <w:pStyle w:val="856"/>
        <w:jc w:val="center"/>
        <w:spacing w:beforeAutospacing="0" w:afterAutospacing="0"/>
        <w:rPr>
          <w:highlight w:val="none"/>
        </w:rPr>
      </w:pPr>
      <w:r>
        <w:rPr>
          <w:rFonts w:hint="eastAsia" w:ascii="宋体" w:hAnsi="宋体" w:eastAsia="宋体" w:cs="宋体"/>
          <w:b/>
          <w:color w:val="000000"/>
          <w:sz w:val="72"/>
          <w:szCs w:val="72"/>
          <w:highlight w:val="none"/>
        </w:rPr>
        <w:t xml:space="preserve">投  标  文  件</w:t>
      </w:r>
      <w:r/>
    </w:p>
    <w:p>
      <w:pPr>
        <w:pStyle w:val="856"/>
        <w:jc w:val="center"/>
        <w:spacing w:beforeAutospacing="0" w:afterAutospacing="0"/>
        <w:rPr>
          <w:highlight w:val="none"/>
        </w:rPr>
      </w:pPr>
      <w:r>
        <w:rPr>
          <w:highlight w:val="none"/>
        </w:rPr>
        <w:t xml:space="preserve"> </w:t>
      </w:r>
      <w:r/>
    </w:p>
    <w:p>
      <w:pPr>
        <w:pStyle w:val="856"/>
        <w:jc w:val="center"/>
        <w:spacing w:beforeAutospacing="0" w:afterAutospacing="0"/>
        <w:rPr>
          <w:highlight w:val="none"/>
        </w:rPr>
      </w:pPr>
      <w:r>
        <w:rPr>
          <w:highlight w:val="none"/>
        </w:rPr>
        <w:t xml:space="preserve"> </w:t>
      </w:r>
      <w:r/>
    </w:p>
    <w:p>
      <w:pPr>
        <w:pStyle w:val="856"/>
        <w:jc w:val="center"/>
        <w:spacing w:beforeAutospacing="0" w:afterAutospacing="0"/>
        <w:rPr>
          <w:highlight w:val="none"/>
        </w:rPr>
      </w:pPr>
      <w:r>
        <w:rPr>
          <w:highlight w:val="none"/>
        </w:rPr>
        <w:t xml:space="preserve"> </w:t>
      </w:r>
      <w:r/>
    </w:p>
    <w:p>
      <w:pPr>
        <w:pStyle w:val="856"/>
        <w:jc w:val="center"/>
        <w:spacing w:beforeAutospacing="0" w:afterAutospacing="0"/>
        <w:rPr>
          <w:highlight w:val="none"/>
        </w:rPr>
      </w:pPr>
      <w:r>
        <w:rPr>
          <w:highlight w:val="none"/>
        </w:rPr>
        <w:t xml:space="preserve"> </w:t>
      </w:r>
      <w:r/>
    </w:p>
    <w:p>
      <w:pPr>
        <w:pStyle w:val="856"/>
        <w:jc w:val="center"/>
        <w:spacing w:beforeAutospacing="0" w:afterAutospacing="0"/>
        <w:rPr>
          <w:highlight w:val="none"/>
        </w:rPr>
      </w:pPr>
      <w:r>
        <w:rPr>
          <w:highlight w:val="none"/>
        </w:rPr>
        <w:t xml:space="preserve"> </w:t>
      </w:r>
      <w:r/>
    </w:p>
    <w:p>
      <w:pPr>
        <w:pStyle w:val="856"/>
        <w:ind w:firstLine="1084"/>
        <w:jc w:val="both"/>
        <w:spacing w:beforeAutospacing="0" w:afterAutospacing="0"/>
        <w:rPr>
          <w:rFonts w:hint="eastAsia" w:eastAsia="宋体"/>
          <w:highlight w:val="none"/>
          <w:lang w:val="en-US" w:eastAsia="zh-CN"/>
        </w:rPr>
      </w:pPr>
      <w:r>
        <w:rPr>
          <w:rFonts w:hint="eastAsia" w:ascii="宋体" w:hAnsi="宋体" w:eastAsia="宋体" w:cs="宋体"/>
          <w:b/>
          <w:color w:val="000000"/>
          <w:spacing w:val="60"/>
          <w:sz w:val="36"/>
          <w:szCs w:val="36"/>
          <w:highlight w:val="none"/>
        </w:rPr>
        <w:t xml:space="preserve">项目名</w:t>
      </w:r>
      <w:r>
        <w:rPr>
          <w:rFonts w:hint="eastAsia" w:ascii="宋体" w:hAnsi="宋体" w:eastAsia="宋体" w:cs="宋体"/>
          <w:b/>
          <w:color w:val="000000"/>
          <w:spacing w:val="0"/>
          <w:sz w:val="36"/>
          <w:szCs w:val="36"/>
          <w:highlight w:val="none"/>
        </w:rPr>
        <w:t xml:space="preserve">称</w:t>
      </w:r>
      <w:r>
        <w:rPr>
          <w:rFonts w:hint="eastAsia" w:ascii="宋体" w:hAnsi="宋体" w:eastAsia="宋体" w:cs="宋体"/>
          <w:b/>
          <w:color w:val="000000"/>
          <w:sz w:val="36"/>
          <w:szCs w:val="36"/>
          <w:highlight w:val="none"/>
        </w:rPr>
        <w:t xml:space="preserve">：</w:t>
      </w:r>
      <w:r>
        <w:rPr>
          <w:rFonts w:hint="eastAsia" w:ascii="宋体" w:hAnsi="宋体" w:eastAsia="宋体" w:cs="宋体"/>
          <w:b/>
          <w:color w:val="000000"/>
          <w:sz w:val="36"/>
          <w:szCs w:val="36"/>
          <w:highlight w:val="none"/>
          <w:u w:val="single"/>
        </w:rPr>
        <w:t xml:space="preserve">         </w:t>
      </w:r>
      <w:r>
        <w:rPr>
          <w:rFonts w:hint="eastAsia" w:ascii="宋体" w:hAnsi="宋体" w:eastAsia="宋体" w:cs="宋体"/>
          <w:b/>
          <w:color w:val="000000"/>
          <w:sz w:val="36"/>
          <w:szCs w:val="36"/>
          <w:highlight w:val="none"/>
          <w:u w:val="single"/>
          <w:lang w:val="en-US" w:eastAsia="zh-CN"/>
        </w:rPr>
        <w:t xml:space="preserve"> </w:t>
      </w:r>
      <w:r/>
    </w:p>
    <w:p>
      <w:pPr>
        <w:pStyle w:val="856"/>
        <w:ind w:firstLine="1084"/>
        <w:jc w:val="both"/>
        <w:spacing w:beforeAutospacing="0" w:afterAutospacing="0"/>
        <w:rPr>
          <w:rFonts w:hint="eastAsia" w:eastAsia="宋体"/>
          <w:highlight w:val="none"/>
          <w:lang w:val="en-US" w:eastAsia="zh-CN"/>
        </w:rPr>
      </w:pPr>
      <w:r>
        <w:rPr>
          <w:rFonts w:hint="eastAsia" w:ascii="宋体" w:hAnsi="宋体" w:eastAsia="宋体" w:cs="宋体"/>
          <w:b/>
          <w:color w:val="000000"/>
          <w:spacing w:val="60"/>
          <w:sz w:val="36"/>
          <w:szCs w:val="36"/>
          <w:highlight w:val="none"/>
        </w:rPr>
        <w:t xml:space="preserve">项目编</w:t>
      </w:r>
      <w:r>
        <w:rPr>
          <w:rFonts w:hint="eastAsia" w:ascii="宋体" w:hAnsi="宋体" w:eastAsia="宋体" w:cs="宋体"/>
          <w:b/>
          <w:color w:val="000000"/>
          <w:spacing w:val="0"/>
          <w:sz w:val="36"/>
          <w:szCs w:val="36"/>
          <w:highlight w:val="none"/>
        </w:rPr>
        <w:t xml:space="preserve">号</w:t>
      </w:r>
      <w:r>
        <w:rPr>
          <w:rFonts w:hint="eastAsia" w:ascii="宋体" w:hAnsi="宋体" w:eastAsia="宋体" w:cs="宋体"/>
          <w:b/>
          <w:color w:val="000000"/>
          <w:sz w:val="36"/>
          <w:szCs w:val="36"/>
          <w:highlight w:val="none"/>
        </w:rPr>
        <w:t xml:space="preserve">：</w:t>
      </w:r>
      <w:r>
        <w:rPr>
          <w:rFonts w:hint="eastAsia" w:ascii="宋体" w:hAnsi="宋体" w:eastAsia="宋体" w:cs="宋体"/>
          <w:b/>
          <w:color w:val="000000"/>
          <w:sz w:val="36"/>
          <w:szCs w:val="36"/>
          <w:highlight w:val="none"/>
          <w:u w:val="single"/>
        </w:rPr>
        <w:t xml:space="preserve">         </w:t>
      </w:r>
      <w:r>
        <w:rPr>
          <w:rFonts w:hint="eastAsia" w:ascii="宋体" w:hAnsi="宋体" w:eastAsia="宋体" w:cs="宋体"/>
          <w:b/>
          <w:color w:val="000000"/>
          <w:sz w:val="36"/>
          <w:szCs w:val="36"/>
          <w:highlight w:val="none"/>
          <w:u w:val="single"/>
          <w:lang w:val="en-US" w:eastAsia="zh-CN"/>
        </w:rPr>
        <w:t xml:space="preserve"> </w:t>
      </w:r>
      <w:r/>
    </w:p>
    <w:p>
      <w:pPr>
        <w:pStyle w:val="856"/>
        <w:jc w:val="both"/>
        <w:spacing w:beforeAutospacing="0" w:afterAutospacing="0"/>
        <w:rPr>
          <w:highlight w:val="none"/>
        </w:rPr>
      </w:pPr>
      <w:r>
        <w:rPr>
          <w:rFonts w:hint="eastAsia" w:ascii="宋体" w:hAnsi="宋体" w:eastAsia="宋体" w:cs="宋体"/>
          <w:b/>
          <w:color w:val="000000"/>
          <w:sz w:val="36"/>
          <w:szCs w:val="36"/>
          <w:highlight w:val="none"/>
        </w:rPr>
        <w:t xml:space="preserve">   投标人名称：</w:t>
      </w:r>
      <w:r>
        <w:rPr>
          <w:rFonts w:hint="eastAsia" w:ascii="宋体" w:hAnsi="宋体" w:eastAsia="宋体" w:cs="宋体"/>
          <w:b/>
          <w:color w:val="000000"/>
          <w:sz w:val="36"/>
          <w:szCs w:val="36"/>
          <w:highlight w:val="none"/>
          <w:u w:val="single"/>
        </w:rPr>
        <w:t xml:space="preserve">（加盖CA电子公章）</w:t>
      </w:r>
      <w:r/>
    </w:p>
    <w:p>
      <w:pPr>
        <w:pStyle w:val="856"/>
        <w:jc w:val="both"/>
        <w:spacing w:beforeAutospacing="0" w:afterAutospacing="0"/>
        <w:rPr>
          <w:rFonts w:hint="eastAsia" w:eastAsia="宋体"/>
          <w:highlight w:val="none"/>
          <w:lang w:val="en-US" w:eastAsia="zh-CN"/>
        </w:rPr>
      </w:pPr>
      <w:r>
        <w:rPr>
          <w:rFonts w:hint="eastAsia" w:ascii="宋体" w:hAnsi="宋体" w:eastAsia="宋体" w:cs="宋体"/>
          <w:b/>
          <w:color w:val="000000"/>
          <w:sz w:val="36"/>
          <w:szCs w:val="36"/>
          <w:highlight w:val="none"/>
        </w:rPr>
        <w:t xml:space="preserve">   日  </w:t>
      </w:r>
      <w:r>
        <w:rPr>
          <w:rFonts w:hint="eastAsia" w:ascii="宋体" w:hAnsi="宋体" w:eastAsia="宋体" w:cs="宋体"/>
          <w:b/>
          <w:color w:val="000000"/>
          <w:sz w:val="36"/>
          <w:szCs w:val="36"/>
          <w:highlight w:val="none"/>
          <w:lang w:val="en-US" w:eastAsia="zh-CN"/>
        </w:rPr>
        <w:t xml:space="preserve"> </w:t>
      </w:r>
      <w:r>
        <w:rPr>
          <w:rFonts w:hint="eastAsia" w:ascii="宋体" w:hAnsi="宋体" w:eastAsia="宋体" w:cs="宋体"/>
          <w:b/>
          <w:color w:val="000000"/>
          <w:sz w:val="36"/>
          <w:szCs w:val="36"/>
          <w:highlight w:val="none"/>
        </w:rPr>
        <w:t xml:space="preserve"> 期：</w:t>
      </w:r>
      <w:r>
        <w:rPr>
          <w:rFonts w:hint="eastAsia" w:ascii="宋体" w:hAnsi="宋体" w:eastAsia="宋体" w:cs="宋体"/>
          <w:b/>
          <w:color w:val="000000"/>
          <w:sz w:val="36"/>
          <w:szCs w:val="36"/>
          <w:highlight w:val="none"/>
          <w:u w:val="single"/>
        </w:rPr>
        <w:t xml:space="preserve">         </w:t>
      </w:r>
      <w:r>
        <w:rPr>
          <w:rFonts w:hint="eastAsia" w:ascii="宋体" w:hAnsi="宋体" w:eastAsia="宋体" w:cs="宋体"/>
          <w:b/>
          <w:color w:val="000000"/>
          <w:sz w:val="36"/>
          <w:szCs w:val="36"/>
          <w:highlight w:val="none"/>
          <w:u w:val="single"/>
          <w:lang w:val="en-US" w:eastAsia="zh-CN"/>
        </w:rPr>
        <w:t xml:space="preserve"> </w:t>
      </w:r>
      <w:r/>
    </w:p>
    <w:p>
      <w:pPr>
        <w:pStyle w:val="856"/>
        <w:jc w:val="center"/>
        <w:spacing w:beforeAutospacing="0" w:afterAutospacing="0" w:line="0" w:lineRule="atLeast"/>
        <w:rPr>
          <w:highlight w:val="none"/>
        </w:rPr>
      </w:pPr>
      <w:r>
        <w:rPr>
          <w:highlight w:val="none"/>
        </w:rPr>
      </w:r>
      <w:r/>
    </w:p>
    <w:p>
      <w:pPr>
        <w:pStyle w:val="856"/>
        <w:jc w:val="center"/>
        <w:spacing w:beforeAutospacing="0" w:afterAutospacing="0" w:line="0" w:lineRule="atLeast"/>
        <w:rPr>
          <w:highlight w:val="none"/>
        </w:rPr>
      </w:pPr>
      <w:r>
        <w:rPr>
          <w:highlight w:val="none"/>
        </w:rPr>
      </w:r>
      <w:r/>
    </w:p>
    <w:p>
      <w:pPr>
        <w:pStyle w:val="856"/>
        <w:jc w:val="center"/>
        <w:spacing w:beforeAutospacing="0" w:afterAutospacing="0" w:line="0" w:lineRule="atLeast"/>
        <w:rPr>
          <w:highlight w:val="none"/>
        </w:rPr>
      </w:pPr>
      <w:r>
        <w:rPr>
          <w:highlight w:val="none"/>
        </w:rPr>
      </w:r>
      <w:r/>
    </w:p>
    <w:p>
      <w:pPr>
        <w:pStyle w:val="856"/>
        <w:jc w:val="center"/>
        <w:spacing w:beforeAutospacing="0" w:afterAutospacing="0" w:line="0" w:lineRule="atLeast"/>
        <w:rPr>
          <w:highlight w:val="none"/>
        </w:rPr>
      </w:pPr>
      <w:r>
        <w:rPr>
          <w:highlight w:val="none"/>
        </w:rPr>
      </w:r>
      <w:r/>
    </w:p>
    <w:p>
      <w:pPr>
        <w:pStyle w:val="856"/>
        <w:jc w:val="center"/>
        <w:spacing w:beforeAutospacing="0" w:afterAutospacing="0" w:line="0" w:lineRule="atLeast"/>
        <w:rPr>
          <w:highlight w:val="none"/>
        </w:rPr>
      </w:pPr>
      <w:r>
        <w:rPr>
          <w:highlight w:val="none"/>
        </w:rPr>
      </w:r>
      <w:r/>
    </w:p>
    <w:p>
      <w:pPr>
        <w:pStyle w:val="856"/>
        <w:jc w:val="center"/>
        <w:spacing w:beforeAutospacing="0" w:afterAutospacing="0" w:line="0" w:lineRule="atLeast"/>
        <w:rPr>
          <w:highlight w:val="none"/>
        </w:rPr>
      </w:pPr>
      <w:r>
        <w:rPr>
          <w:highlight w:val="none"/>
        </w:rPr>
      </w:r>
      <w:r/>
    </w:p>
    <w:p>
      <w:pPr>
        <w:pStyle w:val="856"/>
        <w:jc w:val="center"/>
        <w:spacing w:beforeAutospacing="0" w:afterAutospacing="0" w:line="0" w:lineRule="atLeast"/>
        <w:rPr>
          <w:highlight w:val="none"/>
        </w:rPr>
      </w:pPr>
      <w:r>
        <w:rPr>
          <w:highlight w:val="none"/>
        </w:rPr>
      </w:r>
      <w:r/>
    </w:p>
    <w:p>
      <w:pPr>
        <w:pStyle w:val="856"/>
        <w:jc w:val="center"/>
        <w:spacing w:beforeAutospacing="0" w:afterAutospacing="0" w:line="0" w:lineRule="atLeast"/>
        <w:rPr>
          <w:highlight w:val="none"/>
        </w:rPr>
      </w:pPr>
      <w:r>
        <w:rPr>
          <w:highlight w:val="none"/>
        </w:rPr>
      </w:r>
      <w:r/>
    </w:p>
    <w:p>
      <w:pPr>
        <w:pStyle w:val="856"/>
        <w:jc w:val="center"/>
        <w:spacing w:beforeAutospacing="0" w:afterAutospacing="0" w:line="0" w:lineRule="atLeast"/>
        <w:rPr>
          <w:highlight w:val="none"/>
        </w:rPr>
      </w:pPr>
      <w:r>
        <w:rPr>
          <w:highlight w:val="none"/>
        </w:rPr>
      </w:r>
      <w:r/>
    </w:p>
    <w:p>
      <w:pPr>
        <w:pStyle w:val="856"/>
        <w:jc w:val="center"/>
        <w:spacing w:beforeAutospacing="0" w:afterAutospacing="0" w:line="0" w:lineRule="atLeast"/>
        <w:rPr>
          <w:highlight w:val="none"/>
        </w:rPr>
      </w:pPr>
      <w:r>
        <w:rPr>
          <w:highlight w:val="none"/>
        </w:rPr>
      </w:r>
      <w:r/>
    </w:p>
    <w:p>
      <w:pPr>
        <w:pStyle w:val="856"/>
        <w:jc w:val="center"/>
        <w:spacing w:beforeAutospacing="0" w:afterAutospacing="0" w:line="0" w:lineRule="atLeast"/>
        <w:rPr>
          <w:highlight w:val="none"/>
        </w:rPr>
      </w:pPr>
      <w:r>
        <w:rPr>
          <w:highlight w:val="none"/>
        </w:rPr>
      </w:r>
      <w:r/>
    </w:p>
    <w:p>
      <w:pPr>
        <w:pStyle w:val="856"/>
        <w:jc w:val="center"/>
        <w:spacing w:beforeAutospacing="0" w:afterAutospacing="0" w:line="0" w:lineRule="atLeast"/>
        <w:rPr>
          <w:highlight w:val="none"/>
        </w:rPr>
      </w:pPr>
      <w:r>
        <w:rPr>
          <w:highlight w:val="none"/>
        </w:rPr>
      </w:r>
      <w:r/>
    </w:p>
    <w:p>
      <w:pPr>
        <w:pStyle w:val="856"/>
        <w:jc w:val="center"/>
        <w:spacing w:beforeAutospacing="0" w:afterAutospacing="0" w:line="0" w:lineRule="atLeast"/>
        <w:rPr>
          <w:highlight w:val="none"/>
        </w:rPr>
      </w:pPr>
      <w:r>
        <w:rPr>
          <w:highlight w:val="none"/>
        </w:rPr>
      </w:r>
      <w:r/>
    </w:p>
    <w:p>
      <w:pPr>
        <w:pStyle w:val="856"/>
        <w:jc w:val="center"/>
        <w:spacing w:beforeAutospacing="0" w:afterAutospacing="0" w:line="0" w:lineRule="atLeast"/>
        <w:rPr>
          <w:highlight w:val="none"/>
        </w:rPr>
      </w:pPr>
      <w:r>
        <w:rPr>
          <w:highlight w:val="none"/>
        </w:rPr>
      </w:r>
      <w:r/>
    </w:p>
    <w:p>
      <w:pPr>
        <w:pStyle w:val="856"/>
        <w:jc w:val="center"/>
        <w:spacing w:beforeAutospacing="0" w:afterAutospacing="0" w:line="0" w:lineRule="atLeast"/>
        <w:rPr>
          <w:highlight w:val="none"/>
        </w:rPr>
      </w:pPr>
      <w:r>
        <w:rPr>
          <w:highlight w:val="none"/>
        </w:rPr>
      </w:r>
      <w:r/>
    </w:p>
    <w:p>
      <w:pPr>
        <w:pStyle w:val="856"/>
        <w:jc w:val="center"/>
        <w:spacing w:beforeAutospacing="0" w:afterAutospacing="0" w:line="0" w:lineRule="atLeast"/>
        <w:rPr>
          <w:highlight w:val="none"/>
        </w:rPr>
      </w:pPr>
      <w:r>
        <w:rPr>
          <w:highlight w:val="none"/>
        </w:rPr>
      </w:r>
      <w:r/>
    </w:p>
    <w:p>
      <w:pPr>
        <w:pStyle w:val="856"/>
        <w:jc w:val="center"/>
        <w:spacing w:beforeAutospacing="0" w:afterAutospacing="0" w:line="0" w:lineRule="atLeast"/>
        <w:rPr>
          <w:highlight w:val="none"/>
        </w:rPr>
      </w:pPr>
      <w:r>
        <w:rPr>
          <w:highlight w:val="none"/>
        </w:rPr>
      </w:r>
      <w:r/>
    </w:p>
    <w:p>
      <w:pPr>
        <w:pStyle w:val="856"/>
        <w:jc w:val="center"/>
        <w:spacing w:beforeAutospacing="0" w:afterAutospacing="0" w:line="0" w:lineRule="atLeast"/>
        <w:rPr>
          <w:highlight w:val="none"/>
        </w:rPr>
      </w:pPr>
      <w:r>
        <w:rPr>
          <w:highlight w:val="none"/>
        </w:rPr>
      </w:r>
      <w:r/>
    </w:p>
    <w:p>
      <w:pPr>
        <w:pStyle w:val="856"/>
        <w:jc w:val="center"/>
        <w:spacing w:beforeAutospacing="0" w:afterAutospacing="0" w:line="0" w:lineRule="atLeast"/>
        <w:rPr>
          <w:highlight w:val="none"/>
        </w:rPr>
      </w:pPr>
      <w:r>
        <w:rPr>
          <w:highlight w:val="none"/>
        </w:rPr>
      </w:r>
      <w:r/>
    </w:p>
    <w:p>
      <w:pPr>
        <w:pStyle w:val="856"/>
        <w:jc w:val="center"/>
        <w:spacing w:beforeAutospacing="0" w:afterAutospacing="0" w:line="0" w:lineRule="atLeast"/>
        <w:rPr>
          <w:highlight w:val="none"/>
        </w:rPr>
      </w:pPr>
      <w:r>
        <w:rPr>
          <w:highlight w:val="none"/>
        </w:rPr>
      </w:r>
      <w:r/>
    </w:p>
    <w:p>
      <w:pPr>
        <w:pStyle w:val="856"/>
        <w:jc w:val="center"/>
        <w:spacing w:beforeAutospacing="0" w:afterAutospacing="0" w:line="0" w:lineRule="atLeast"/>
        <w:rPr>
          <w:highlight w:val="none"/>
        </w:rPr>
      </w:pPr>
      <w:r>
        <w:rPr>
          <w:highlight w:val="none"/>
        </w:rPr>
      </w:r>
      <w:r/>
    </w:p>
    <w:p>
      <w:pPr>
        <w:pStyle w:val="856"/>
        <w:jc w:val="center"/>
        <w:spacing w:beforeAutospacing="0" w:afterAutospacing="0" w:line="0" w:lineRule="atLeast"/>
        <w:rPr>
          <w:highlight w:val="none"/>
        </w:rPr>
      </w:pPr>
      <w:r>
        <w:rPr>
          <w:highlight w:val="none"/>
        </w:rPr>
      </w:r>
      <w:r/>
    </w:p>
    <w:p>
      <w:pPr>
        <w:pStyle w:val="856"/>
        <w:jc w:val="center"/>
        <w:spacing w:beforeAutospacing="0" w:afterAutospacing="0" w:line="0" w:lineRule="atLeast"/>
        <w:rPr>
          <w:highlight w:val="none"/>
        </w:rPr>
      </w:pPr>
      <w:r>
        <w:rPr>
          <w:rFonts w:hint="eastAsia" w:ascii="宋体" w:hAnsi="宋体" w:eastAsia="宋体" w:cs="宋体"/>
          <w:b/>
          <w:color w:val="000000"/>
          <w:sz w:val="32"/>
          <w:szCs w:val="32"/>
          <w:highlight w:val="none"/>
        </w:rPr>
        <w:t xml:space="preserve">投标文件目录</w:t>
      </w:r>
      <w:r/>
    </w:p>
    <w:p>
      <w:pPr>
        <w:pStyle w:val="856"/>
        <w:jc w:val="center"/>
        <w:spacing w:beforeAutospacing="0" w:afterAutospacing="0" w:line="0" w:lineRule="atLeast"/>
        <w:rPr>
          <w:highlight w:val="none"/>
        </w:rPr>
      </w:pPr>
      <w:r>
        <w:rPr>
          <w:highlight w:val="none"/>
        </w:rPr>
        <w:t xml:space="preserve"> </w:t>
      </w:r>
      <w:r/>
    </w:p>
    <w:p>
      <w:pPr>
        <w:pStyle w:val="856"/>
        <w:ind w:left="0" w:firstLine="482"/>
        <w:jc w:val="both"/>
        <w:keepLines w:val="0"/>
        <w:keepNext w:val="0"/>
        <w:pageBreakBefore w:val="0"/>
        <w:spacing w:beforeAutospacing="0" w:afterAutospacing="0" w:line="440" w:lineRule="exact"/>
        <w:rPr>
          <w:rFonts w:ascii="宋体" w:hAnsi="宋体" w:eastAsia="宋体" w:cs="宋体"/>
          <w:i w:val="0"/>
          <w:iCs/>
          <w:color w:val="000000"/>
          <w:sz w:val="24"/>
          <w:szCs w:val="24"/>
          <w:highlight w:val="none"/>
          <w:u w:val="none"/>
        </w:rPr>
      </w:pPr>
      <w:r>
        <w:rPr>
          <w:rFonts w:hint="eastAsia" w:ascii="宋体" w:hAnsi="宋体" w:eastAsia="宋体" w:cs="宋体"/>
          <w:i w:val="0"/>
          <w:iCs/>
          <w:color w:val="000000"/>
          <w:sz w:val="24"/>
          <w:szCs w:val="24"/>
          <w:highlight w:val="none"/>
          <w:u w:val="none"/>
        </w:rPr>
        <w:t xml:space="preserve">一、法人或者其他组织的营业执照等证明文件，自然人的身份证明</w:t>
      </w:r>
      <w:r/>
    </w:p>
    <w:p>
      <w:pPr>
        <w:ind w:left="0" w:firstLine="482"/>
        <w:jc w:val="left"/>
        <w:keepLines w:val="0"/>
        <w:keepNext w:val="0"/>
        <w:pageBreakBefore w:val="0"/>
        <w:spacing w:line="440" w:lineRule="exact"/>
        <w:tabs>
          <w:tab w:val="left" w:pos="1331" w:leader="none"/>
        </w:tabs>
        <w:rPr>
          <w:rFonts w:hint="eastAsia" w:ascii="宋体" w:hAnsi="宋体" w:eastAsia="宋体" w:cs="宋体"/>
          <w:i w:val="0"/>
          <w:iCs/>
          <w:color w:val="000000"/>
          <w:sz w:val="24"/>
          <w:szCs w:val="24"/>
          <w:highlight w:val="none"/>
          <w:u w:val="none"/>
          <w:lang w:val="en-US" w:eastAsia="zh-CN" w:bidi="ar-SA"/>
        </w:rPr>
      </w:pPr>
      <w:r>
        <w:rPr>
          <w:rFonts w:hint="eastAsia" w:ascii="宋体" w:hAnsi="宋体" w:eastAsia="宋体" w:cs="宋体"/>
          <w:i w:val="0"/>
          <w:iCs/>
          <w:color w:val="000000"/>
          <w:sz w:val="24"/>
          <w:szCs w:val="24"/>
          <w:highlight w:val="none"/>
          <w:u w:val="none"/>
          <w:lang w:val="en-US" w:eastAsia="zh-CN" w:bidi="ar-SA"/>
        </w:rPr>
        <w:t xml:space="preserve">二、上一年度的财务状况报表（至少提供资产负债表、利润表、现金流量表，投标人成立不满一年无需提供）</w:t>
      </w:r>
      <w:r/>
    </w:p>
    <w:p>
      <w:pPr>
        <w:pStyle w:val="856"/>
        <w:ind w:left="0" w:firstLine="482"/>
        <w:jc w:val="both"/>
        <w:keepLines w:val="0"/>
        <w:keepNext w:val="0"/>
        <w:pageBreakBefore w:val="0"/>
        <w:spacing w:beforeAutospacing="0" w:afterAutospacing="0" w:line="440" w:lineRule="exact"/>
        <w:rPr>
          <w:rFonts w:hint="eastAsia" w:ascii="宋体" w:hAnsi="宋体" w:eastAsia="宋体" w:cs="宋体"/>
          <w:i w:val="0"/>
          <w:iCs/>
          <w:color w:val="000000"/>
          <w:sz w:val="24"/>
          <w:szCs w:val="24"/>
          <w:highlight w:val="none"/>
          <w:u w:val="none"/>
        </w:rPr>
      </w:pPr>
      <w:r>
        <w:rPr>
          <w:rFonts w:hint="eastAsia" w:ascii="宋体" w:hAnsi="宋体" w:eastAsia="宋体" w:cs="宋体"/>
          <w:i w:val="0"/>
          <w:iCs/>
          <w:color w:val="000000"/>
          <w:sz w:val="24"/>
          <w:szCs w:val="24"/>
          <w:highlight w:val="none"/>
          <w:u w:val="none"/>
          <w:lang w:val="en-US" w:eastAsia="zh-CN"/>
        </w:rPr>
        <w:t xml:space="preserve">三</w:t>
      </w:r>
      <w:r>
        <w:rPr>
          <w:rFonts w:hint="eastAsia" w:ascii="宋体" w:hAnsi="宋体" w:eastAsia="宋体" w:cs="宋体"/>
          <w:i w:val="0"/>
          <w:iCs/>
          <w:color w:val="000000"/>
          <w:sz w:val="24"/>
          <w:szCs w:val="24"/>
          <w:highlight w:val="none"/>
          <w:u w:val="none"/>
        </w:rPr>
        <w:t xml:space="preserve">、具备履行合同所必需的设备和专业技术能力的书面声明</w:t>
      </w:r>
      <w:r/>
    </w:p>
    <w:p>
      <w:pPr>
        <w:pStyle w:val="856"/>
        <w:ind w:left="0" w:firstLine="482"/>
        <w:jc w:val="both"/>
        <w:keepLines w:val="0"/>
        <w:keepNext w:val="0"/>
        <w:pageBreakBefore w:val="0"/>
        <w:spacing w:beforeAutospacing="0" w:afterAutospacing="0" w:line="440" w:lineRule="exact"/>
        <w:rPr>
          <w:rFonts w:hint="eastAsia" w:ascii="宋体" w:hAnsi="宋体" w:eastAsia="宋体" w:cs="宋体"/>
          <w:i w:val="0"/>
          <w:iCs/>
          <w:color w:val="000000"/>
          <w:sz w:val="24"/>
          <w:szCs w:val="24"/>
          <w:highlight w:val="none"/>
          <w:u w:val="none"/>
        </w:rPr>
      </w:pPr>
      <w:r>
        <w:rPr>
          <w:rFonts w:hint="eastAsia" w:ascii="宋体" w:hAnsi="宋体" w:eastAsia="宋体" w:cs="宋体"/>
          <w:i w:val="0"/>
          <w:iCs/>
          <w:color w:val="000000"/>
          <w:sz w:val="24"/>
          <w:szCs w:val="24"/>
          <w:highlight w:val="none"/>
          <w:u w:val="none"/>
          <w:lang w:val="en-US" w:eastAsia="zh-CN"/>
        </w:rPr>
        <w:t xml:space="preserve">四</w:t>
      </w:r>
      <w:r>
        <w:rPr>
          <w:rFonts w:hint="eastAsia" w:ascii="宋体" w:hAnsi="宋体" w:eastAsia="宋体" w:cs="宋体"/>
          <w:i w:val="0"/>
          <w:iCs/>
          <w:color w:val="000000"/>
          <w:sz w:val="24"/>
          <w:szCs w:val="24"/>
          <w:highlight w:val="none"/>
          <w:u w:val="none"/>
        </w:rPr>
        <w:t xml:space="preserve">、依法缴纳税收和社会保障资金的相关材料（提供提交投标文件截止时间前一年内至少一个月依法缴纳税收及缴纳社会保障资金的证明材料。投标人依法享受缓缴、免缴税收、社会保障资金的提供证明材料）</w:t>
      </w:r>
      <w:r/>
    </w:p>
    <w:p>
      <w:pPr>
        <w:pStyle w:val="856"/>
        <w:ind w:left="0" w:firstLine="482"/>
        <w:jc w:val="both"/>
        <w:keepLines w:val="0"/>
        <w:keepNext w:val="0"/>
        <w:pageBreakBefore w:val="0"/>
        <w:spacing w:beforeAutospacing="0" w:afterAutospacing="0" w:line="440" w:lineRule="exact"/>
        <w:rPr>
          <w:rFonts w:ascii="宋体" w:hAnsi="宋体" w:eastAsia="宋体" w:cs="宋体"/>
          <w:i w:val="0"/>
          <w:iCs/>
          <w:color w:val="000000"/>
          <w:sz w:val="24"/>
          <w:szCs w:val="24"/>
          <w:highlight w:val="none"/>
          <w:u w:val="none"/>
        </w:rPr>
      </w:pPr>
      <w:r>
        <w:rPr>
          <w:rFonts w:hint="eastAsia" w:ascii="宋体" w:hAnsi="宋体" w:eastAsia="宋体" w:cs="宋体"/>
          <w:i w:val="0"/>
          <w:iCs/>
          <w:color w:val="000000"/>
          <w:sz w:val="24"/>
          <w:szCs w:val="24"/>
          <w:highlight w:val="none"/>
          <w:u w:val="none"/>
        </w:rPr>
        <w:t xml:space="preserve">五、参加政府采购活动前 3 年内在经营活动中没有重大违法记录的书面声明</w:t>
      </w:r>
      <w:r/>
    </w:p>
    <w:p>
      <w:pPr>
        <w:pStyle w:val="856"/>
        <w:ind w:left="0" w:firstLine="482"/>
        <w:jc w:val="both"/>
        <w:keepLines w:val="0"/>
        <w:keepNext w:val="0"/>
        <w:pageBreakBefore w:val="0"/>
        <w:spacing w:beforeAutospacing="0" w:afterAutospacing="0" w:line="440" w:lineRule="exact"/>
        <w:rPr>
          <w:rFonts w:hint="eastAsia" w:ascii="宋体" w:hAnsi="宋体" w:eastAsia="宋体" w:cs="宋体"/>
          <w:i w:val="0"/>
          <w:iCs/>
          <w:color w:val="000000"/>
          <w:sz w:val="24"/>
          <w:szCs w:val="24"/>
          <w:highlight w:val="none"/>
          <w:u w:val="none"/>
        </w:rPr>
      </w:pPr>
      <w:r>
        <w:rPr>
          <w:rFonts w:hint="eastAsia" w:ascii="宋体" w:hAnsi="宋体" w:eastAsia="宋体" w:cs="宋体"/>
          <w:i w:val="0"/>
          <w:iCs/>
          <w:color w:val="000000"/>
          <w:sz w:val="24"/>
          <w:szCs w:val="24"/>
          <w:highlight w:val="none"/>
          <w:u w:val="none"/>
        </w:rPr>
        <w:t xml:space="preserve">六、单位负责人为同一人或者存在直接控股、管理关系的不同供应商，不得参加同一合同项下的政府采购活动</w:t>
      </w:r>
      <w:r>
        <w:rPr>
          <w:rFonts w:hint="eastAsia" w:ascii="宋体" w:hAnsi="宋体" w:eastAsia="宋体" w:cs="宋体"/>
          <w:i w:val="0"/>
          <w:iCs/>
          <w:color w:val="000000"/>
          <w:sz w:val="24"/>
          <w:szCs w:val="24"/>
          <w:highlight w:val="none"/>
          <w:u w:val="none"/>
          <w:lang w:eastAsia="zh-CN"/>
        </w:rPr>
        <w:t xml:space="preserve">的</w:t>
      </w:r>
      <w:r>
        <w:rPr>
          <w:rFonts w:hint="eastAsia" w:ascii="宋体" w:hAnsi="宋体" w:eastAsia="宋体" w:cs="宋体"/>
          <w:i w:val="0"/>
          <w:iCs/>
          <w:color w:val="000000"/>
          <w:sz w:val="24"/>
          <w:szCs w:val="24"/>
          <w:highlight w:val="none"/>
          <w:u w:val="none"/>
        </w:rPr>
        <w:t xml:space="preserve">书面</w:t>
      </w:r>
      <w:r>
        <w:rPr>
          <w:rFonts w:hint="eastAsia" w:ascii="宋体" w:hAnsi="宋体" w:eastAsia="宋体" w:cs="宋体"/>
          <w:i w:val="0"/>
          <w:iCs/>
          <w:color w:val="000000"/>
          <w:sz w:val="24"/>
          <w:szCs w:val="24"/>
          <w:highlight w:val="none"/>
          <w:u w:val="none"/>
          <w:lang w:eastAsia="zh-CN"/>
        </w:rPr>
        <w:t xml:space="preserve">声明</w:t>
      </w:r>
      <w:r>
        <w:rPr>
          <w:rFonts w:hint="eastAsia" w:ascii="宋体" w:hAnsi="宋体" w:eastAsia="宋体" w:cs="宋体"/>
          <w:i w:val="0"/>
          <w:iCs/>
          <w:color w:val="000000"/>
          <w:sz w:val="24"/>
          <w:szCs w:val="24"/>
          <w:highlight w:val="none"/>
          <w:u w:val="none"/>
        </w:rPr>
        <w:t xml:space="preserve">。</w:t>
      </w:r>
      <w:r/>
    </w:p>
    <w:p>
      <w:pPr>
        <w:pStyle w:val="856"/>
        <w:ind w:left="0" w:firstLine="482"/>
        <w:jc w:val="both"/>
        <w:keepLines w:val="0"/>
        <w:keepNext w:val="0"/>
        <w:pageBreakBefore w:val="0"/>
        <w:spacing w:beforeAutospacing="0" w:afterAutospacing="0" w:line="440" w:lineRule="exact"/>
        <w:rPr>
          <w:rFonts w:ascii="宋体" w:hAnsi="宋体" w:eastAsia="宋体" w:cs="宋体"/>
          <w:i w:val="0"/>
          <w:iCs/>
          <w:color w:val="000000"/>
          <w:sz w:val="24"/>
          <w:szCs w:val="24"/>
          <w:highlight w:val="none"/>
          <w:u w:val="none"/>
        </w:rPr>
      </w:pPr>
      <w:r>
        <w:rPr>
          <w:rFonts w:hint="eastAsia" w:ascii="宋体" w:hAnsi="宋体" w:eastAsia="宋体" w:cs="宋体"/>
          <w:i w:val="0"/>
          <w:iCs/>
          <w:color w:val="000000"/>
          <w:sz w:val="24"/>
          <w:szCs w:val="24"/>
          <w:highlight w:val="none"/>
          <w:u w:val="none"/>
        </w:rPr>
        <w:t xml:space="preserve">七、特定资格要求的证明文件（如果本项目设置特定资格要求，则需要提供）</w:t>
      </w:r>
      <w:r/>
    </w:p>
    <w:p>
      <w:pPr>
        <w:pStyle w:val="856"/>
        <w:ind w:left="0" w:firstLine="482"/>
        <w:jc w:val="both"/>
        <w:keepLines w:val="0"/>
        <w:keepNext w:val="0"/>
        <w:pageBreakBefore w:val="0"/>
        <w:spacing w:beforeAutospacing="0" w:afterAutospacing="0" w:line="440" w:lineRule="exact"/>
        <w:rPr>
          <w:rFonts w:ascii="宋体" w:hAnsi="宋体" w:eastAsia="宋体" w:cs="宋体"/>
          <w:i w:val="0"/>
          <w:iCs/>
          <w:color w:val="000000"/>
          <w:sz w:val="24"/>
          <w:szCs w:val="24"/>
          <w:highlight w:val="none"/>
          <w:u w:val="none"/>
        </w:rPr>
      </w:pPr>
      <w:r>
        <w:rPr>
          <w:rFonts w:hint="eastAsia" w:ascii="宋体" w:hAnsi="宋体" w:eastAsia="宋体" w:cs="宋体"/>
          <w:i w:val="0"/>
          <w:iCs/>
          <w:color w:val="000000"/>
          <w:sz w:val="24"/>
          <w:szCs w:val="24"/>
          <w:highlight w:val="none"/>
          <w:u w:val="none"/>
        </w:rPr>
        <w:t xml:space="preserve">八、法人授权书</w:t>
      </w:r>
      <w:r/>
    </w:p>
    <w:p>
      <w:pPr>
        <w:pStyle w:val="856"/>
        <w:ind w:left="0" w:firstLine="482"/>
        <w:jc w:val="both"/>
        <w:keepLines w:val="0"/>
        <w:keepNext w:val="0"/>
        <w:pageBreakBefore w:val="0"/>
        <w:spacing w:beforeAutospacing="0" w:afterAutospacing="0" w:line="440" w:lineRule="exact"/>
        <w:rPr>
          <w:rFonts w:hint="eastAsia" w:ascii="宋体" w:hAnsi="宋体" w:eastAsia="宋体" w:cs="宋体"/>
          <w:i w:val="0"/>
          <w:iCs/>
          <w:color w:val="000000"/>
          <w:sz w:val="24"/>
          <w:szCs w:val="24"/>
          <w:highlight w:val="none"/>
          <w:u w:val="none"/>
        </w:rPr>
      </w:pPr>
      <w:r>
        <w:rPr>
          <w:rFonts w:hint="eastAsia" w:ascii="宋体" w:hAnsi="宋体" w:eastAsia="宋体" w:cs="宋体"/>
          <w:i w:val="0"/>
          <w:iCs/>
          <w:color w:val="000000"/>
          <w:sz w:val="24"/>
          <w:szCs w:val="24"/>
          <w:highlight w:val="none"/>
          <w:u w:val="none"/>
        </w:rPr>
        <w:t xml:space="preserve">九、投标函</w:t>
      </w:r>
      <w:r/>
    </w:p>
    <w:p>
      <w:pPr>
        <w:pStyle w:val="856"/>
        <w:ind w:left="0" w:firstLine="482"/>
        <w:jc w:val="both"/>
        <w:keepLines w:val="0"/>
        <w:keepNext w:val="0"/>
        <w:pageBreakBefore w:val="0"/>
        <w:spacing w:beforeAutospacing="0" w:afterAutospacing="0" w:line="440" w:lineRule="exact"/>
        <w:rPr>
          <w:rFonts w:ascii="宋体" w:hAnsi="宋体" w:eastAsia="宋体" w:cs="宋体"/>
          <w:i w:val="0"/>
          <w:iCs/>
          <w:color w:val="000000"/>
          <w:sz w:val="24"/>
          <w:szCs w:val="24"/>
          <w:highlight w:val="none"/>
          <w:u w:val="none"/>
        </w:rPr>
      </w:pPr>
      <w:r>
        <w:rPr>
          <w:rFonts w:hint="eastAsia" w:ascii="宋体" w:hAnsi="宋体" w:eastAsia="宋体" w:cs="宋体"/>
          <w:i w:val="0"/>
          <w:iCs/>
          <w:color w:val="000000"/>
          <w:sz w:val="24"/>
          <w:szCs w:val="24"/>
          <w:highlight w:val="none"/>
          <w:u w:val="none"/>
        </w:rPr>
        <w:t xml:space="preserve">十、</w:t>
      </w:r>
      <w:r>
        <w:rPr>
          <w:rFonts w:hint="eastAsia" w:ascii="宋体" w:hAnsi="宋体" w:eastAsia="宋体" w:cs="宋体"/>
          <w:i w:val="0"/>
          <w:iCs/>
          <w:color w:val="auto"/>
          <w:sz w:val="24"/>
          <w:szCs w:val="24"/>
          <w:highlight w:val="none"/>
          <w:u w:val="none"/>
          <w:lang w:val="en-US" w:eastAsia="zh-CN"/>
        </w:rPr>
        <w:t xml:space="preserve">中小</w:t>
      </w:r>
      <w:r>
        <w:rPr>
          <w:rFonts w:hint="eastAsia" w:ascii="宋体" w:hAnsi="宋体" w:eastAsia="宋体" w:cs="宋体"/>
          <w:i w:val="0"/>
          <w:iCs/>
          <w:color w:val="auto"/>
          <w:sz w:val="24"/>
          <w:szCs w:val="24"/>
          <w:highlight w:val="none"/>
          <w:u w:val="none"/>
        </w:rPr>
        <w:t xml:space="preserve">企业声明函</w:t>
      </w:r>
      <w:r/>
    </w:p>
    <w:p>
      <w:pPr>
        <w:pStyle w:val="856"/>
        <w:ind w:left="0" w:firstLine="482"/>
        <w:jc w:val="both"/>
        <w:keepLines w:val="0"/>
        <w:keepNext w:val="0"/>
        <w:pageBreakBefore w:val="0"/>
        <w:spacing w:beforeAutospacing="0" w:afterAutospacing="0" w:line="440" w:lineRule="exact"/>
        <w:rPr>
          <w:rFonts w:ascii="宋体" w:hAnsi="宋体" w:eastAsia="宋体" w:cs="宋体"/>
          <w:i w:val="0"/>
          <w:iCs/>
          <w:color w:val="000000"/>
          <w:sz w:val="24"/>
          <w:szCs w:val="24"/>
          <w:highlight w:val="none"/>
          <w:u w:val="none"/>
        </w:rPr>
      </w:pPr>
      <w:r>
        <w:rPr>
          <w:rFonts w:hint="eastAsia" w:ascii="宋体" w:hAnsi="宋体" w:eastAsia="宋体" w:cs="宋体"/>
          <w:i w:val="0"/>
          <w:iCs/>
          <w:color w:val="000000"/>
          <w:sz w:val="24"/>
          <w:szCs w:val="24"/>
          <w:highlight w:val="none"/>
          <w:u w:val="none"/>
        </w:rPr>
        <w:t xml:space="preserve">十一、残疾人福利性单位声明函</w:t>
      </w:r>
      <w:r/>
    </w:p>
    <w:p>
      <w:pPr>
        <w:pStyle w:val="856"/>
        <w:ind w:left="0" w:firstLine="482"/>
        <w:jc w:val="both"/>
        <w:keepLines w:val="0"/>
        <w:keepNext w:val="0"/>
        <w:pageBreakBefore w:val="0"/>
        <w:spacing w:beforeAutospacing="0" w:afterAutospacing="0" w:line="440" w:lineRule="exact"/>
        <w:rPr>
          <w:rFonts w:ascii="宋体" w:hAnsi="宋体" w:eastAsia="宋体" w:cs="宋体"/>
          <w:i w:val="0"/>
          <w:iCs/>
          <w:color w:val="000000"/>
          <w:sz w:val="24"/>
          <w:szCs w:val="24"/>
          <w:highlight w:val="none"/>
          <w:u w:val="none"/>
        </w:rPr>
      </w:pPr>
      <w:r>
        <w:rPr>
          <w:rFonts w:hint="eastAsia" w:ascii="宋体" w:hAnsi="宋体" w:eastAsia="宋体" w:cs="宋体"/>
          <w:i w:val="0"/>
          <w:iCs/>
          <w:color w:val="000000"/>
          <w:sz w:val="24"/>
          <w:szCs w:val="24"/>
          <w:highlight w:val="none"/>
          <w:u w:val="none"/>
        </w:rPr>
        <w:t xml:space="preserve">十二、投标分项报价表</w:t>
      </w:r>
      <w:r/>
    </w:p>
    <w:p>
      <w:pPr>
        <w:pStyle w:val="856"/>
        <w:ind w:left="0" w:firstLine="482"/>
        <w:jc w:val="both"/>
        <w:keepLines w:val="0"/>
        <w:keepNext w:val="0"/>
        <w:pageBreakBefore w:val="0"/>
        <w:spacing w:beforeAutospacing="0" w:afterAutospacing="0" w:line="440" w:lineRule="exact"/>
        <w:rPr>
          <w:rFonts w:ascii="宋体" w:hAnsi="宋体" w:eastAsia="宋体" w:cs="宋体"/>
          <w:i w:val="0"/>
          <w:iCs/>
          <w:color w:val="000000"/>
          <w:sz w:val="24"/>
          <w:szCs w:val="24"/>
          <w:highlight w:val="none"/>
          <w:u w:val="none"/>
        </w:rPr>
      </w:pPr>
      <w:r>
        <w:rPr>
          <w:rFonts w:hint="eastAsia" w:ascii="宋体" w:hAnsi="宋体" w:eastAsia="宋体" w:cs="宋体"/>
          <w:i w:val="0"/>
          <w:iCs/>
          <w:color w:val="000000"/>
          <w:sz w:val="24"/>
          <w:szCs w:val="24"/>
          <w:highlight w:val="none"/>
          <w:u w:val="none"/>
        </w:rPr>
        <w:t xml:space="preserve">十三、技术要求响应及偏离表</w:t>
      </w:r>
      <w:r/>
    </w:p>
    <w:p>
      <w:pPr>
        <w:pStyle w:val="856"/>
        <w:ind w:left="0" w:firstLine="482"/>
        <w:jc w:val="both"/>
        <w:keepLines w:val="0"/>
        <w:keepNext w:val="0"/>
        <w:pageBreakBefore w:val="0"/>
        <w:spacing w:beforeAutospacing="0" w:afterAutospacing="0" w:line="440" w:lineRule="exact"/>
        <w:rPr>
          <w:rFonts w:ascii="宋体" w:hAnsi="宋体" w:eastAsia="宋体" w:cs="宋体"/>
          <w:i w:val="0"/>
          <w:iCs/>
          <w:color w:val="000000"/>
          <w:sz w:val="24"/>
          <w:szCs w:val="24"/>
          <w:highlight w:val="none"/>
          <w:u w:val="none"/>
        </w:rPr>
      </w:pPr>
      <w:r>
        <w:rPr>
          <w:rFonts w:hint="eastAsia" w:ascii="宋体" w:hAnsi="宋体" w:eastAsia="宋体" w:cs="宋体"/>
          <w:i w:val="0"/>
          <w:iCs/>
          <w:color w:val="000000"/>
          <w:sz w:val="24"/>
          <w:szCs w:val="24"/>
          <w:highlight w:val="none"/>
          <w:u w:val="none"/>
        </w:rPr>
        <w:t xml:space="preserve">十四、</w:t>
      </w:r>
      <w:r>
        <w:rPr>
          <w:rFonts w:hint="eastAsia" w:ascii="宋体" w:hAnsi="宋体" w:cs="宋体"/>
          <w:color w:val="000000"/>
          <w:sz w:val="24"/>
          <w:szCs w:val="24"/>
        </w:rPr>
        <w:t xml:space="preserve">商务要求响应及偏离表</w:t>
      </w:r>
      <w:r/>
    </w:p>
    <w:p>
      <w:pPr>
        <w:pStyle w:val="856"/>
        <w:ind w:left="0" w:firstLine="482"/>
        <w:jc w:val="both"/>
        <w:keepLines w:val="0"/>
        <w:keepNext w:val="0"/>
        <w:pageBreakBefore w:val="0"/>
        <w:spacing w:beforeAutospacing="0" w:afterAutospacing="0" w:line="440" w:lineRule="exact"/>
        <w:rPr>
          <w:rFonts w:ascii="宋体" w:hAnsi="宋体" w:eastAsia="宋体" w:cs="宋体"/>
          <w:i w:val="0"/>
          <w:iCs/>
          <w:color w:val="000000"/>
          <w:sz w:val="24"/>
          <w:szCs w:val="24"/>
          <w:highlight w:val="none"/>
          <w:u w:val="none"/>
        </w:rPr>
      </w:pPr>
      <w:r>
        <w:rPr>
          <w:rFonts w:hint="eastAsia" w:ascii="宋体" w:hAnsi="宋体" w:eastAsia="宋体" w:cs="宋体"/>
          <w:i w:val="0"/>
          <w:iCs/>
          <w:color w:val="000000"/>
          <w:sz w:val="24"/>
          <w:szCs w:val="24"/>
          <w:highlight w:val="none"/>
          <w:u w:val="none"/>
        </w:rPr>
        <w:t xml:space="preserve">十五、开标一览表</w:t>
      </w:r>
      <w:r/>
    </w:p>
    <w:p>
      <w:pPr>
        <w:ind w:left="0" w:firstLine="482"/>
        <w:keepLines w:val="0"/>
        <w:keepNext w:val="0"/>
        <w:pageBreakBefore w:val="0"/>
        <w:spacing w:before="50" w:after="50" w:line="440" w:lineRule="exact"/>
        <w:widowControl/>
        <w:rPr>
          <w:color w:val="000000"/>
          <w:sz w:val="24"/>
          <w:szCs w:val="24"/>
        </w:rPr>
      </w:pPr>
      <w:r>
        <w:rPr>
          <w:rFonts w:hint="eastAsia" w:ascii="宋体" w:hAnsi="宋体" w:eastAsia="宋体" w:cs="宋体"/>
          <w:i w:val="0"/>
          <w:iCs/>
          <w:color w:val="000000"/>
          <w:sz w:val="24"/>
          <w:szCs w:val="24"/>
          <w:highlight w:val="none"/>
          <w:u w:val="none"/>
        </w:rPr>
        <w:t xml:space="preserve">十六、</w:t>
      </w:r>
      <w:r>
        <w:rPr>
          <w:color w:val="000000"/>
          <w:sz w:val="24"/>
          <w:szCs w:val="24"/>
        </w:rPr>
        <w:t xml:space="preserve">其他材料</w:t>
      </w:r>
      <w:r/>
    </w:p>
    <w:p>
      <w:pPr>
        <w:ind w:left="0" w:firstLine="482"/>
        <w:keepLines w:val="0"/>
        <w:keepNext w:val="0"/>
        <w:pageBreakBefore w:val="0"/>
        <w:spacing w:before="50" w:after="50" w:line="440" w:lineRule="exact"/>
        <w:widowControl/>
        <w:rPr>
          <w:rFonts w:ascii="宋体" w:hAnsi="宋体" w:eastAsia="宋体" w:cs="宋体"/>
          <w:i w:val="0"/>
          <w:iCs/>
          <w:color w:val="000000"/>
          <w:sz w:val="24"/>
          <w:szCs w:val="24"/>
          <w:highlight w:val="none"/>
          <w:u w:val="none"/>
        </w:rPr>
      </w:pPr>
      <w:r>
        <w:rPr>
          <w:rFonts w:hint="eastAsia" w:eastAsia="宋体"/>
          <w:color w:val="000000"/>
          <w:sz w:val="24"/>
          <w:szCs w:val="24"/>
          <w:lang w:eastAsia="zh-CN"/>
        </w:rPr>
        <w:t xml:space="preserve">十七、</w:t>
      </w:r>
      <w:r>
        <w:rPr>
          <w:rFonts w:hint="eastAsia" w:ascii="宋体" w:hAnsi="宋体" w:eastAsia="宋体" w:cs="宋体"/>
          <w:i w:val="0"/>
          <w:iCs/>
          <w:color w:val="000000"/>
          <w:sz w:val="24"/>
          <w:szCs w:val="24"/>
          <w:highlight w:val="none"/>
          <w:u w:val="none"/>
        </w:rPr>
        <w:t xml:space="preserve">盐城市政府采购事前信用承诺书</w:t>
      </w:r>
      <w:r/>
    </w:p>
    <w:p>
      <w:pPr>
        <w:pStyle w:val="856"/>
        <w:ind w:firstLine="480"/>
        <w:jc w:val="both"/>
        <w:spacing w:beforeAutospacing="0" w:afterAutospacing="0" w:line="0" w:lineRule="atLeast"/>
        <w:rPr>
          <w:highlight w:val="none"/>
        </w:rPr>
      </w:pPr>
      <w:r>
        <w:rPr>
          <w:highlight w:val="none"/>
        </w:rPr>
        <w:t xml:space="preserve"> </w:t>
      </w:r>
      <w:r/>
    </w:p>
    <w:p>
      <w:pPr>
        <w:pStyle w:val="856"/>
        <w:ind w:firstLine="480"/>
        <w:jc w:val="both"/>
        <w:spacing w:beforeAutospacing="0" w:afterAutospacing="0" w:line="0" w:lineRule="atLeast"/>
        <w:rPr>
          <w:highlight w:val="none"/>
        </w:rPr>
      </w:pPr>
      <w:r>
        <w:rPr>
          <w:highlight w:val="none"/>
        </w:rPr>
        <w:t xml:space="preserve"> </w:t>
      </w:r>
      <w:r/>
    </w:p>
    <w:p>
      <w:pPr>
        <w:pStyle w:val="856"/>
        <w:ind w:firstLine="480"/>
        <w:jc w:val="both"/>
        <w:spacing w:beforeAutospacing="0" w:afterAutospacing="0" w:line="0" w:lineRule="atLeast"/>
        <w:rPr>
          <w:highlight w:val="none"/>
        </w:rPr>
      </w:pPr>
      <w:r>
        <w:rPr>
          <w:highlight w:val="none"/>
        </w:rPr>
        <w:t xml:space="preserve"> </w:t>
      </w:r>
      <w:r/>
    </w:p>
    <w:p>
      <w:pPr>
        <w:pStyle w:val="856"/>
        <w:ind w:firstLine="480"/>
        <w:jc w:val="both"/>
        <w:spacing w:beforeAutospacing="0" w:afterAutospacing="0" w:line="0" w:lineRule="atLeast"/>
        <w:rPr>
          <w:highlight w:val="none"/>
        </w:rPr>
      </w:pPr>
      <w:r>
        <w:rPr>
          <w:highlight w:val="none"/>
        </w:rPr>
        <w:t xml:space="preserve"> </w:t>
      </w:r>
      <w:r/>
    </w:p>
    <w:p>
      <w:pPr>
        <w:pStyle w:val="856"/>
        <w:ind w:firstLine="480"/>
        <w:jc w:val="both"/>
        <w:spacing w:beforeAutospacing="0" w:afterAutospacing="0" w:line="0" w:lineRule="atLeast"/>
        <w:rPr>
          <w:highlight w:val="none"/>
        </w:rPr>
      </w:pPr>
      <w:r>
        <w:rPr>
          <w:highlight w:val="none"/>
        </w:rPr>
        <w:t xml:space="preserve"> </w:t>
      </w:r>
      <w:r/>
    </w:p>
    <w:p>
      <w:pPr>
        <w:pStyle w:val="856"/>
        <w:ind w:firstLine="480"/>
        <w:jc w:val="both"/>
        <w:spacing w:beforeAutospacing="0" w:afterAutospacing="0" w:line="0" w:lineRule="atLeast"/>
        <w:rPr>
          <w:highlight w:val="none"/>
        </w:rPr>
      </w:pPr>
      <w:r>
        <w:rPr>
          <w:highlight w:val="none"/>
        </w:rPr>
        <w:t xml:space="preserve"> </w:t>
      </w:r>
      <w:r/>
    </w:p>
    <w:p>
      <w:pPr>
        <w:pStyle w:val="856"/>
        <w:ind w:firstLine="480"/>
        <w:jc w:val="both"/>
        <w:spacing w:beforeAutospacing="0" w:afterAutospacing="0" w:line="0" w:lineRule="atLeast"/>
        <w:rPr>
          <w:highlight w:val="none"/>
        </w:rPr>
      </w:pPr>
      <w:r>
        <w:rPr>
          <w:highlight w:val="none"/>
        </w:rPr>
        <w:t xml:space="preserve"> </w:t>
      </w:r>
      <w:r/>
    </w:p>
    <w:p>
      <w:pPr>
        <w:pStyle w:val="856"/>
        <w:ind w:firstLine="480"/>
        <w:jc w:val="both"/>
        <w:spacing w:beforeAutospacing="0" w:afterAutospacing="0" w:line="0" w:lineRule="atLeast"/>
        <w:rPr>
          <w:highlight w:val="none"/>
        </w:rPr>
      </w:pPr>
      <w:r>
        <w:rPr>
          <w:highlight w:val="none"/>
        </w:rPr>
        <w:t xml:space="preserve"> </w:t>
      </w:r>
      <w:r/>
    </w:p>
    <w:p>
      <w:pPr>
        <w:pStyle w:val="856"/>
        <w:ind w:firstLine="480"/>
        <w:jc w:val="both"/>
        <w:spacing w:beforeAutospacing="0" w:afterAutospacing="0" w:line="0" w:lineRule="atLeast"/>
        <w:rPr>
          <w:highlight w:val="none"/>
        </w:rPr>
      </w:pPr>
      <w:r>
        <w:rPr>
          <w:highlight w:val="none"/>
        </w:rPr>
      </w:r>
      <w:r/>
    </w:p>
    <w:p>
      <w:pPr>
        <w:pStyle w:val="856"/>
        <w:ind w:firstLine="480"/>
        <w:jc w:val="both"/>
        <w:spacing w:beforeAutospacing="0" w:afterAutospacing="0" w:line="0" w:lineRule="atLeast"/>
        <w:rPr>
          <w:highlight w:val="none"/>
        </w:rPr>
      </w:pPr>
      <w:r>
        <w:rPr>
          <w:highlight w:val="none"/>
        </w:rPr>
      </w:r>
      <w:r/>
    </w:p>
    <w:p>
      <w:pPr>
        <w:pStyle w:val="856"/>
        <w:ind w:firstLine="480"/>
        <w:jc w:val="both"/>
        <w:spacing w:beforeAutospacing="0" w:afterAutospacing="0" w:line="0" w:lineRule="atLeast"/>
        <w:rPr>
          <w:highlight w:val="none"/>
        </w:rPr>
      </w:pPr>
      <w:r>
        <w:rPr>
          <w:highlight w:val="none"/>
        </w:rPr>
      </w:r>
      <w:r/>
    </w:p>
    <w:p>
      <w:pPr>
        <w:pStyle w:val="856"/>
        <w:ind w:firstLine="480"/>
        <w:jc w:val="both"/>
        <w:spacing w:beforeAutospacing="0" w:afterAutospacing="0" w:line="0" w:lineRule="atLeast"/>
        <w:rPr>
          <w:highlight w:val="none"/>
        </w:rPr>
      </w:pPr>
      <w:r>
        <w:rPr>
          <w:highlight w:val="none"/>
        </w:rPr>
      </w:r>
      <w:r/>
    </w:p>
    <w:p>
      <w:pPr>
        <w:pStyle w:val="856"/>
        <w:jc w:val="both"/>
        <w:spacing w:beforeAutospacing="0" w:afterAutospacing="0"/>
        <w:rPr>
          <w:highlight w:val="none"/>
        </w:rPr>
      </w:pPr>
      <w:r>
        <w:rPr>
          <w:rFonts w:hint="eastAsia" w:ascii="黑体" w:hAnsi="宋体" w:eastAsia="黑体" w:cs="黑体"/>
          <w:i/>
          <w:color w:val="000000"/>
          <w:sz w:val="32"/>
          <w:szCs w:val="32"/>
          <w:highlight w:val="none"/>
          <w:u w:val="single"/>
        </w:rPr>
        <w:t xml:space="preserve">一、法人或者其他组织的营业执照等证明文件，自然人的身份证明</w:t>
      </w:r>
      <w:r/>
    </w:p>
    <w:p>
      <w:pPr>
        <w:pStyle w:val="856"/>
        <w:ind w:firstLine="480"/>
        <w:jc w:val="both"/>
        <w:spacing w:beforeAutospacing="0" w:afterAutospacing="0" w:line="0" w:lineRule="atLeast"/>
        <w:rPr>
          <w:highlight w:val="none"/>
        </w:rPr>
      </w:pPr>
      <w:r>
        <w:rPr>
          <w:highlight w:val="none"/>
        </w:rPr>
        <w:t xml:space="preserve"> </w:t>
      </w:r>
      <w:r/>
    </w:p>
    <w:p>
      <w:pPr>
        <w:pStyle w:val="856"/>
        <w:jc w:val="both"/>
        <w:spacing w:beforeAutospacing="0" w:afterAutospacing="0"/>
        <w:rPr>
          <w:rFonts w:hint="eastAsia" w:ascii="黑体" w:hAnsi="宋体" w:eastAsia="黑体" w:cs="黑体"/>
          <w:i/>
          <w:color w:val="000000"/>
          <w:sz w:val="32"/>
          <w:szCs w:val="32"/>
          <w:highlight w:val="none"/>
          <w:u w:val="single"/>
        </w:rPr>
      </w:pPr>
      <w:r>
        <w:rPr>
          <w:rFonts w:hint="eastAsia" w:ascii="黑体" w:hAnsi="宋体" w:eastAsia="黑体" w:cs="黑体"/>
          <w:i/>
          <w:color w:val="000000"/>
          <w:sz w:val="32"/>
          <w:szCs w:val="32"/>
          <w:highlight w:val="none"/>
          <w:u w:val="single"/>
        </w:rPr>
      </w:r>
      <w:r/>
    </w:p>
    <w:p>
      <w:pPr>
        <w:pStyle w:val="856"/>
        <w:jc w:val="both"/>
        <w:spacing w:beforeAutospacing="0" w:afterAutospacing="0"/>
        <w:rPr>
          <w:rFonts w:eastAsia="黑体"/>
          <w:highlight w:val="none"/>
        </w:rPr>
      </w:pPr>
      <w:r>
        <w:rPr>
          <w:rFonts w:hint="eastAsia" w:ascii="黑体" w:hAnsi="宋体" w:eastAsia="黑体" w:cs="黑体"/>
          <w:i/>
          <w:color w:val="000000"/>
          <w:sz w:val="32"/>
          <w:szCs w:val="32"/>
          <w:highlight w:val="none"/>
          <w:u w:val="single"/>
        </w:rPr>
        <w:t xml:space="preserve">二、上一年度的财务状况报表</w:t>
      </w:r>
      <w:r/>
    </w:p>
    <w:p>
      <w:pPr>
        <w:pStyle w:val="856"/>
        <w:ind w:firstLine="480"/>
        <w:jc w:val="both"/>
        <w:spacing w:beforeAutospacing="0" w:afterAutospacing="0" w:line="0" w:lineRule="atLeast"/>
        <w:rPr>
          <w:highlight w:val="none"/>
        </w:rPr>
      </w:pPr>
      <w:r>
        <w:rPr>
          <w:rFonts w:hint="eastAsia" w:ascii="宋体" w:hAnsi="宋体" w:eastAsia="宋体" w:cs="宋体"/>
          <w:color w:val="000000"/>
          <w:highlight w:val="none"/>
        </w:rPr>
        <w:t xml:space="preserve">投标人成立不满一年无需提供</w:t>
      </w:r>
      <w:r/>
    </w:p>
    <w:p>
      <w:pPr>
        <w:pStyle w:val="856"/>
        <w:jc w:val="both"/>
        <w:spacing w:beforeAutospacing="0" w:afterAutospacing="0"/>
        <w:rPr>
          <w:highlight w:val="none"/>
        </w:rPr>
      </w:pPr>
      <w:r>
        <w:rPr>
          <w:highlight w:val="none"/>
        </w:rPr>
        <w:t xml:space="preserve"> </w:t>
      </w:r>
      <w:r/>
    </w:p>
    <w:p>
      <w:pPr>
        <w:pStyle w:val="856"/>
        <w:jc w:val="both"/>
        <w:spacing w:beforeAutospacing="0" w:afterAutospacing="0"/>
        <w:rPr>
          <w:rFonts w:hint="eastAsia" w:ascii="黑体" w:hAnsi="宋体" w:eastAsia="黑体" w:cs="黑体"/>
          <w:i/>
          <w:color w:val="000000"/>
          <w:sz w:val="32"/>
          <w:szCs w:val="32"/>
          <w:highlight w:val="none"/>
          <w:u w:val="single"/>
          <w:lang w:val="en-US" w:eastAsia="zh-CN"/>
        </w:rPr>
      </w:pPr>
      <w:r>
        <w:rPr>
          <w:rFonts w:hint="eastAsia" w:ascii="黑体" w:hAnsi="宋体" w:eastAsia="黑体" w:cs="黑体"/>
          <w:i/>
          <w:color w:val="000000"/>
          <w:sz w:val="32"/>
          <w:szCs w:val="32"/>
          <w:highlight w:val="none"/>
          <w:u w:val="single"/>
          <w:lang w:val="en-US" w:eastAsia="zh-CN"/>
        </w:rPr>
      </w:r>
      <w:r/>
    </w:p>
    <w:p>
      <w:pPr>
        <w:pStyle w:val="856"/>
        <w:jc w:val="both"/>
        <w:spacing w:beforeAutospacing="0" w:afterAutospacing="0"/>
        <w:rPr>
          <w:highlight w:val="none"/>
        </w:rPr>
      </w:pPr>
      <w:r>
        <w:rPr>
          <w:rFonts w:hint="eastAsia" w:ascii="黑体" w:hAnsi="宋体" w:eastAsia="黑体" w:cs="黑体"/>
          <w:i/>
          <w:color w:val="000000"/>
          <w:sz w:val="32"/>
          <w:szCs w:val="32"/>
          <w:highlight w:val="none"/>
          <w:u w:val="single"/>
          <w:lang w:val="en-US" w:eastAsia="zh-CN"/>
        </w:rPr>
        <w:t xml:space="preserve">三</w:t>
      </w:r>
      <w:r>
        <w:rPr>
          <w:rFonts w:hint="eastAsia" w:ascii="黑体" w:hAnsi="宋体" w:eastAsia="黑体" w:cs="黑体"/>
          <w:i/>
          <w:color w:val="000000"/>
          <w:sz w:val="32"/>
          <w:szCs w:val="32"/>
          <w:highlight w:val="none"/>
          <w:u w:val="single"/>
        </w:rPr>
        <w:t xml:space="preserve">、具备履行合同所必需的设备和专业技术能力的书面声明</w:t>
      </w:r>
      <w:r/>
    </w:p>
    <w:p>
      <w:pPr>
        <w:pStyle w:val="856"/>
        <w:ind w:firstLine="492"/>
        <w:jc w:val="both"/>
        <w:keepLines w:val="0"/>
        <w:keepNext w:val="0"/>
        <w:pageBreakBefore w:val="0"/>
        <w:spacing w:beforeAutospacing="0" w:afterAutospacing="0" w:line="460" w:lineRule="exact"/>
        <w:widowControl w:val="off"/>
        <w:rPr>
          <w:highlight w:val="none"/>
        </w:rPr>
      </w:pPr>
      <w:r>
        <w:rPr>
          <w:rFonts w:hint="eastAsia" w:ascii="宋体" w:hAnsi="宋体" w:eastAsia="宋体" w:cs="宋体"/>
          <w:color w:val="000000"/>
          <w:highlight w:val="none"/>
        </w:rPr>
        <w:t xml:space="preserve">我单位郑重声明：我单位具备履行本项采购合同所必需的设备和专业技术能力，为履行本项采购合同我公司具备如下主要设备和主要专业技术能力：</w:t>
      </w:r>
      <w:r/>
    </w:p>
    <w:p>
      <w:pPr>
        <w:pStyle w:val="856"/>
        <w:ind w:firstLine="492"/>
        <w:jc w:val="both"/>
        <w:keepLines w:val="0"/>
        <w:keepNext w:val="0"/>
        <w:pageBreakBefore w:val="0"/>
        <w:spacing w:beforeAutospacing="0" w:afterAutospacing="0" w:line="460" w:lineRule="exact"/>
        <w:widowControl w:val="off"/>
        <w:rPr>
          <w:highlight w:val="none"/>
        </w:rPr>
      </w:pPr>
      <w:r>
        <w:rPr>
          <w:rFonts w:hint="eastAsia" w:ascii="宋体" w:hAnsi="宋体" w:eastAsia="宋体" w:cs="宋体"/>
          <w:color w:val="000000"/>
          <w:highlight w:val="none"/>
        </w:rPr>
        <w:t xml:space="preserve">主要设备有：</w:t>
      </w:r>
      <w:r>
        <w:rPr>
          <w:rFonts w:hint="eastAsia" w:ascii="宋体" w:hAnsi="宋体" w:eastAsia="宋体" w:cs="宋体"/>
          <w:color w:val="000000"/>
          <w:highlight w:val="none"/>
          <w:u w:val="single"/>
        </w:rPr>
        <w:t xml:space="preserve">  </w:t>
      </w:r>
      <w:r>
        <w:rPr>
          <w:rFonts w:hint="eastAsia" w:ascii="宋体" w:hAnsi="宋体" w:eastAsia="宋体" w:cs="宋体"/>
          <w:color w:val="000000"/>
          <w:highlight w:val="none"/>
        </w:rPr>
        <w:t xml:space="preserve">。</w:t>
      </w:r>
      <w:r/>
    </w:p>
    <w:p>
      <w:pPr>
        <w:pStyle w:val="856"/>
        <w:ind w:firstLine="480"/>
        <w:jc w:val="both"/>
        <w:keepLines w:val="0"/>
        <w:keepNext w:val="0"/>
        <w:pageBreakBefore w:val="0"/>
        <w:spacing w:beforeAutospacing="0" w:afterAutospacing="0" w:line="460" w:lineRule="exact"/>
        <w:widowControl w:val="off"/>
        <w:rPr>
          <w:rFonts w:hint="eastAsia" w:ascii="宋体" w:hAnsi="宋体" w:eastAsia="宋体" w:cs="宋体"/>
          <w:color w:val="000000"/>
          <w:highlight w:val="none"/>
        </w:rPr>
      </w:pPr>
      <w:r>
        <w:rPr>
          <w:rFonts w:hint="eastAsia" w:ascii="宋体" w:hAnsi="宋体" w:eastAsia="宋体" w:cs="宋体"/>
          <w:color w:val="000000"/>
          <w:highlight w:val="none"/>
        </w:rPr>
        <w:t xml:space="preserve">主要专业技术能力有：</w:t>
      </w:r>
      <w:r>
        <w:rPr>
          <w:rFonts w:hint="eastAsia" w:ascii="宋体" w:hAnsi="宋体" w:eastAsia="宋体" w:cs="宋体"/>
          <w:color w:val="000000"/>
          <w:highlight w:val="none"/>
          <w:u w:val="single"/>
        </w:rPr>
        <w:t xml:space="preserve">   </w:t>
      </w:r>
      <w:r>
        <w:rPr>
          <w:rFonts w:hint="eastAsia" w:ascii="宋体" w:hAnsi="宋体" w:eastAsia="宋体" w:cs="宋体"/>
          <w:color w:val="000000"/>
          <w:highlight w:val="none"/>
        </w:rPr>
        <w:t xml:space="preserve">。</w:t>
      </w:r>
      <w:r/>
    </w:p>
    <w:p>
      <w:pPr>
        <w:pStyle w:val="856"/>
        <w:jc w:val="both"/>
        <w:spacing w:beforeAutospacing="0" w:afterAutospacing="0"/>
        <w:rPr>
          <w:rFonts w:hint="eastAsia" w:ascii="黑体" w:hAnsi="宋体" w:eastAsia="黑体" w:cs="黑体"/>
          <w:i/>
          <w:color w:val="000000"/>
          <w:sz w:val="32"/>
          <w:szCs w:val="32"/>
          <w:highlight w:val="none"/>
          <w:u w:val="single"/>
          <w:lang w:val="en-US" w:eastAsia="zh-CN"/>
        </w:rPr>
      </w:pPr>
      <w:r>
        <w:rPr>
          <w:rFonts w:hint="eastAsia" w:ascii="黑体" w:hAnsi="宋体" w:eastAsia="黑体" w:cs="黑体"/>
          <w:i/>
          <w:color w:val="000000"/>
          <w:sz w:val="32"/>
          <w:szCs w:val="32"/>
          <w:highlight w:val="none"/>
          <w:u w:val="single"/>
          <w:lang w:val="en-US" w:eastAsia="zh-CN"/>
        </w:rPr>
      </w:r>
      <w:r/>
    </w:p>
    <w:p>
      <w:pPr>
        <w:pStyle w:val="856"/>
        <w:jc w:val="both"/>
        <w:spacing w:beforeAutospacing="0" w:afterAutospacing="0"/>
        <w:rPr>
          <w:highlight w:val="none"/>
        </w:rPr>
      </w:pPr>
      <w:r>
        <w:rPr>
          <w:rFonts w:hint="eastAsia" w:ascii="黑体" w:hAnsi="宋体" w:eastAsia="黑体" w:cs="黑体"/>
          <w:i/>
          <w:color w:val="000000"/>
          <w:sz w:val="32"/>
          <w:szCs w:val="32"/>
          <w:highlight w:val="none"/>
          <w:u w:val="single"/>
          <w:lang w:val="en-US" w:eastAsia="zh-CN"/>
        </w:rPr>
        <w:t xml:space="preserve">四</w:t>
      </w:r>
      <w:r>
        <w:rPr>
          <w:rFonts w:hint="eastAsia" w:ascii="黑体" w:hAnsi="宋体" w:eastAsia="黑体" w:cs="黑体"/>
          <w:i/>
          <w:color w:val="000000"/>
          <w:sz w:val="32"/>
          <w:szCs w:val="32"/>
          <w:highlight w:val="none"/>
          <w:u w:val="single"/>
        </w:rPr>
        <w:t xml:space="preserve">、依法缴纳税收和社会保障资金的相关材料</w:t>
      </w:r>
      <w:r/>
    </w:p>
    <w:p>
      <w:pPr>
        <w:pStyle w:val="856"/>
        <w:ind w:firstLine="482"/>
        <w:jc w:val="both"/>
        <w:keepLines w:val="0"/>
        <w:keepNext w:val="0"/>
        <w:pageBreakBefore w:val="0"/>
        <w:spacing w:beforeAutospacing="0" w:afterAutospacing="0" w:line="460" w:lineRule="exact"/>
        <w:widowControl w:val="off"/>
        <w:rPr>
          <w:highlight w:val="none"/>
        </w:rPr>
      </w:pPr>
      <w:r>
        <w:rPr>
          <w:rFonts w:hint="eastAsia" w:ascii="宋体" w:hAnsi="宋体" w:eastAsia="宋体" w:cs="宋体"/>
          <w:color w:val="000000"/>
          <w:highlight w:val="none"/>
        </w:rPr>
        <w:t xml:space="preserve">提供提交投标文件截止时间前一年内至少一个月依法缴纳税收及缴纳社会保障资金的证明材料。投标人依法享受缓缴、免缴税收、社会保障资金的提供证明材料。</w:t>
      </w:r>
      <w:r/>
    </w:p>
    <w:p>
      <w:pPr>
        <w:pStyle w:val="856"/>
        <w:jc w:val="both"/>
        <w:spacing w:beforeAutospacing="0" w:afterAutospacing="0"/>
        <w:rPr>
          <w:highlight w:val="none"/>
        </w:rPr>
      </w:pPr>
      <w:r>
        <w:rPr>
          <w:highlight w:val="none"/>
        </w:rPr>
      </w:r>
      <w:r/>
    </w:p>
    <w:p>
      <w:pPr>
        <w:pStyle w:val="856"/>
        <w:jc w:val="both"/>
        <w:spacing w:beforeAutospacing="0" w:afterAutospacing="0"/>
        <w:rPr>
          <w:highlight w:val="none"/>
        </w:rPr>
      </w:pPr>
      <w:r>
        <w:rPr>
          <w:highlight w:val="none"/>
        </w:rPr>
      </w:r>
      <w:r/>
    </w:p>
    <w:p>
      <w:pPr>
        <w:pStyle w:val="856"/>
        <w:jc w:val="both"/>
        <w:spacing w:beforeAutospacing="0" w:afterAutospacing="0"/>
        <w:rPr>
          <w:highlight w:val="none"/>
        </w:rPr>
      </w:pPr>
      <w:r>
        <w:rPr>
          <w:highlight w:val="none"/>
        </w:rPr>
        <w:t xml:space="preserve"> </w:t>
      </w:r>
      <w:r/>
    </w:p>
    <w:p>
      <w:pPr>
        <w:pStyle w:val="856"/>
        <w:jc w:val="both"/>
        <w:spacing w:beforeAutospacing="0" w:afterAutospacing="0"/>
        <w:rPr>
          <w:rFonts w:ascii="宋体" w:hAnsi="宋体" w:eastAsia="宋体" w:cs="宋体"/>
          <w:b/>
          <w:color w:val="000000"/>
          <w:sz w:val="44"/>
          <w:szCs w:val="44"/>
          <w:highlight w:val="none"/>
        </w:rPr>
      </w:pPr>
      <w:r>
        <w:rPr>
          <w:rFonts w:hint="eastAsia" w:ascii="黑体" w:hAnsi="宋体" w:eastAsia="黑体" w:cs="黑体"/>
          <w:i/>
          <w:color w:val="000000"/>
          <w:sz w:val="32"/>
          <w:szCs w:val="32"/>
          <w:highlight w:val="none"/>
          <w:u w:val="single"/>
        </w:rPr>
        <w:t xml:space="preserve">五、参加政府采购活动前 3 年内在经营活动中没有重大违法记录的书面声明</w:t>
      </w:r>
      <w:r>
        <w:rPr>
          <w:rFonts w:hint="eastAsia" w:ascii="宋体" w:hAnsi="宋体" w:eastAsia="宋体" w:cs="宋体"/>
          <w:b/>
          <w:color w:val="000000"/>
          <w:sz w:val="44"/>
          <w:szCs w:val="44"/>
          <w:highlight w:val="none"/>
        </w:rPr>
        <w:t xml:space="preserve">        </w:t>
      </w:r>
      <w:r/>
    </w:p>
    <w:p>
      <w:pPr>
        <w:pStyle w:val="856"/>
        <w:ind w:firstLine="3092"/>
        <w:jc w:val="both"/>
        <w:spacing w:beforeAutospacing="0" w:afterAutospacing="0" w:line="0" w:lineRule="atLeast"/>
        <w:rPr>
          <w:highlight w:val="none"/>
        </w:rPr>
      </w:pPr>
      <w:r>
        <w:rPr>
          <w:rFonts w:hint="eastAsia" w:ascii="宋体" w:hAnsi="宋体" w:eastAsia="宋体" w:cs="宋体"/>
          <w:b/>
          <w:color w:val="000000"/>
          <w:sz w:val="44"/>
          <w:szCs w:val="44"/>
          <w:highlight w:val="none"/>
        </w:rPr>
        <w:t xml:space="preserve"> 声  明</w:t>
      </w:r>
      <w:r/>
    </w:p>
    <w:p>
      <w:pPr>
        <w:pStyle w:val="856"/>
        <w:jc w:val="both"/>
        <w:keepLines w:val="0"/>
        <w:keepNext w:val="0"/>
        <w:pageBreakBefore w:val="0"/>
        <w:spacing w:beforeAutospacing="0" w:afterAutospacing="0" w:line="460" w:lineRule="exact"/>
        <w:widowControl w:val="off"/>
        <w:rPr>
          <w:highlight w:val="none"/>
        </w:rPr>
      </w:pPr>
      <w:r>
        <w:rPr>
          <w:rFonts w:hint="eastAsia" w:ascii="宋体" w:hAnsi="宋体" w:eastAsia="宋体" w:cs="宋体"/>
          <w:b/>
          <w:color w:val="000000"/>
          <w:highlight w:val="none"/>
        </w:rPr>
        <w:t xml:space="preserve">    </w:t>
      </w:r>
      <w:r>
        <w:rPr>
          <w:rFonts w:hint="eastAsia" w:ascii="宋体" w:hAnsi="宋体" w:eastAsia="宋体" w:cs="宋体"/>
          <w:color w:val="000000"/>
          <w:highlight w:val="none"/>
        </w:rPr>
        <w:t xml:space="preserve">我单位郑重声明：参加本次政府采购活动前 3 年内，我单位在经营活动中没有因违法经营受到刑事处罚或者责令停产停业、吊销许可证或者执照、较大数额罚款等行政处罚。</w:t>
      </w:r>
      <w:r/>
    </w:p>
    <w:p>
      <w:pPr>
        <w:pStyle w:val="856"/>
        <w:jc w:val="both"/>
        <w:spacing w:beforeAutospacing="0" w:afterAutospacing="0"/>
        <w:rPr>
          <w:highlight w:val="none"/>
        </w:rPr>
      </w:pPr>
      <w:r>
        <w:rPr>
          <w:highlight w:val="none"/>
        </w:rPr>
        <w:t xml:space="preserve"> </w:t>
      </w:r>
      <w:r/>
    </w:p>
    <w:p>
      <w:pPr>
        <w:pStyle w:val="856"/>
        <w:jc w:val="both"/>
        <w:spacing w:beforeAutospacing="0" w:afterAutospacing="0"/>
        <w:rPr>
          <w:rFonts w:hint="eastAsia" w:ascii="黑体" w:hAnsi="黑体" w:eastAsia="黑体" w:cs="黑体"/>
          <w:i/>
          <w:color w:val="000000"/>
          <w:sz w:val="32"/>
          <w:szCs w:val="32"/>
          <w:u w:val="single"/>
        </w:rPr>
      </w:pPr>
      <w:r>
        <w:rPr>
          <w:rFonts w:hint="eastAsia" w:ascii="黑体" w:hAnsi="黑体" w:eastAsia="黑体" w:cs="黑体"/>
          <w:i/>
          <w:color w:val="000000"/>
          <w:sz w:val="32"/>
          <w:szCs w:val="32"/>
          <w:u w:val="single"/>
        </w:rPr>
        <w:t xml:space="preserve">六、单位负责人为同一人或者存在直接控股、管理关系的不同供应商，不得参加同一合同项下的政府采购活动。</w:t>
      </w:r>
      <w:r/>
    </w:p>
    <w:p>
      <w:pPr>
        <w:pStyle w:val="856"/>
        <w:ind w:firstLine="3092"/>
        <w:jc w:val="both"/>
        <w:spacing w:beforeAutospacing="0" w:afterAutospacing="0" w:line="0" w:lineRule="atLeast"/>
        <w:rPr>
          <w:rFonts w:hint="eastAsia" w:ascii="宋体" w:hAnsi="宋体" w:cs="宋体"/>
          <w:b/>
          <w:color w:val="000000"/>
          <w:sz w:val="44"/>
          <w:szCs w:val="44"/>
        </w:rPr>
      </w:pPr>
      <w:r>
        <w:rPr>
          <w:rFonts w:hint="eastAsia" w:ascii="宋体" w:hAnsi="宋体" w:cs="宋体"/>
          <w:b/>
          <w:color w:val="000000"/>
          <w:sz w:val="44"/>
          <w:szCs w:val="44"/>
        </w:rPr>
      </w:r>
      <w:r/>
    </w:p>
    <w:p>
      <w:pPr>
        <w:pStyle w:val="856"/>
        <w:ind w:firstLine="3092"/>
        <w:jc w:val="both"/>
        <w:spacing w:beforeAutospacing="0" w:afterAutospacing="0" w:line="0" w:lineRule="atLeast"/>
        <w:rPr>
          <w:rFonts w:hint="eastAsia" w:ascii="宋体" w:hAnsi="宋体" w:cs="宋体"/>
          <w:b/>
          <w:color w:val="000000"/>
          <w:sz w:val="44"/>
          <w:szCs w:val="44"/>
        </w:rPr>
      </w:pPr>
      <w:r>
        <w:rPr>
          <w:rFonts w:hint="eastAsia" w:ascii="宋体" w:hAnsi="宋体" w:cs="宋体"/>
          <w:b/>
          <w:color w:val="000000"/>
          <w:sz w:val="44"/>
          <w:szCs w:val="44"/>
        </w:rPr>
        <w:t xml:space="preserve">声  明</w:t>
      </w:r>
      <w:r/>
    </w:p>
    <w:p>
      <w:pPr>
        <w:pStyle w:val="856"/>
        <w:jc w:val="both"/>
        <w:keepLines w:val="0"/>
        <w:keepNext w:val="0"/>
        <w:pageBreakBefore w:val="0"/>
        <w:spacing w:beforeAutospacing="0" w:afterAutospacing="0" w:line="460" w:lineRule="exact"/>
        <w:widowControl w:val="off"/>
        <w:rPr>
          <w:rFonts w:hint="eastAsia" w:ascii="宋体" w:hAnsi="宋体"/>
        </w:rPr>
      </w:pPr>
      <w:r>
        <w:rPr>
          <w:rFonts w:hint="eastAsia" w:ascii="宋体" w:hAnsi="宋体" w:cs="宋体"/>
          <w:b/>
          <w:color w:val="000000"/>
        </w:rPr>
        <w:t xml:space="preserve">  </w:t>
      </w:r>
      <w:r>
        <w:rPr>
          <w:rFonts w:hint="eastAsia" w:ascii="宋体" w:hAnsi="宋体" w:cs="宋体"/>
          <w:color w:val="000000"/>
        </w:rPr>
        <w:t xml:space="preserve">我单位不存在：单位负责人为同一人或者存在直接控股、管理关系的不同供应商同时参加同一合同项下的政府采购活动。</w:t>
      </w:r>
      <w:r/>
    </w:p>
    <w:p>
      <w:pPr>
        <w:pStyle w:val="856"/>
        <w:jc w:val="both"/>
        <w:spacing w:beforeAutospacing="0" w:afterAutospacing="0"/>
        <w:rPr>
          <w:rFonts w:hint="eastAsia" w:ascii="黑体" w:hAnsi="宋体" w:eastAsia="黑体" w:cs="黑体"/>
          <w:i/>
          <w:color w:val="000000"/>
          <w:sz w:val="32"/>
          <w:szCs w:val="32"/>
          <w:highlight w:val="none"/>
          <w:u w:val="single"/>
          <w:lang w:eastAsia="zh-CN"/>
        </w:rPr>
      </w:pPr>
      <w:r>
        <w:rPr>
          <w:rFonts w:hint="eastAsia" w:ascii="黑体" w:hAnsi="宋体" w:eastAsia="黑体" w:cs="黑体"/>
          <w:i/>
          <w:color w:val="000000"/>
          <w:sz w:val="32"/>
          <w:szCs w:val="32"/>
          <w:highlight w:val="none"/>
          <w:u w:val="single"/>
          <w:lang w:eastAsia="zh-CN"/>
        </w:rPr>
      </w:r>
      <w:r/>
    </w:p>
    <w:p>
      <w:pPr>
        <w:pStyle w:val="856"/>
        <w:jc w:val="both"/>
        <w:spacing w:beforeAutospacing="0" w:afterAutospacing="0"/>
        <w:rPr>
          <w:rFonts w:hint="eastAsia" w:ascii="黑体" w:hAnsi="宋体" w:eastAsia="黑体" w:cs="黑体"/>
          <w:i/>
          <w:color w:val="000000"/>
          <w:sz w:val="32"/>
          <w:szCs w:val="32"/>
          <w:highlight w:val="none"/>
          <w:u w:val="single"/>
          <w:lang w:eastAsia="zh-CN"/>
        </w:rPr>
      </w:pPr>
      <w:r>
        <w:rPr>
          <w:rFonts w:hint="eastAsia" w:ascii="黑体" w:hAnsi="宋体" w:eastAsia="黑体" w:cs="黑体"/>
          <w:i/>
          <w:color w:val="000000"/>
          <w:sz w:val="32"/>
          <w:szCs w:val="32"/>
          <w:highlight w:val="none"/>
          <w:u w:val="single"/>
          <w:lang w:eastAsia="zh-CN"/>
        </w:rPr>
      </w:r>
      <w:r/>
    </w:p>
    <w:p>
      <w:pPr>
        <w:pStyle w:val="856"/>
        <w:jc w:val="both"/>
        <w:spacing w:beforeAutospacing="0" w:afterAutospacing="0"/>
        <w:rPr>
          <w:highlight w:val="none"/>
        </w:rPr>
      </w:pPr>
      <w:r>
        <w:rPr>
          <w:rFonts w:hint="eastAsia" w:ascii="黑体" w:hAnsi="宋体" w:eastAsia="黑体" w:cs="黑体"/>
          <w:i/>
          <w:color w:val="000000"/>
          <w:sz w:val="32"/>
          <w:szCs w:val="32"/>
          <w:highlight w:val="none"/>
          <w:u w:val="single"/>
          <w:lang w:eastAsia="zh-CN"/>
        </w:rPr>
        <w:t xml:space="preserve">七</w:t>
      </w:r>
      <w:r>
        <w:rPr>
          <w:rFonts w:hint="eastAsia" w:ascii="黑体" w:hAnsi="宋体" w:eastAsia="黑体" w:cs="黑体"/>
          <w:i/>
          <w:color w:val="000000"/>
          <w:sz w:val="32"/>
          <w:szCs w:val="32"/>
          <w:highlight w:val="none"/>
          <w:u w:val="single"/>
        </w:rPr>
        <w:t xml:space="preserve">、特定资格要求的证明文件</w:t>
      </w:r>
      <w:r/>
    </w:p>
    <w:p>
      <w:pPr>
        <w:pStyle w:val="856"/>
        <w:jc w:val="both"/>
        <w:spacing w:beforeAutospacing="0" w:afterAutospacing="0" w:line="0" w:lineRule="atLeast"/>
        <w:rPr>
          <w:highlight w:val="none"/>
        </w:rPr>
      </w:pPr>
      <w:r>
        <w:rPr>
          <w:rFonts w:hint="eastAsia" w:ascii="宋体" w:hAnsi="宋体" w:eastAsia="宋体" w:cs="宋体"/>
          <w:color w:val="000000"/>
          <w:highlight w:val="none"/>
        </w:rPr>
        <w:t xml:space="preserve">   如果本项目申请人的特定资格要求中要求提供的，必须提供。</w:t>
      </w:r>
      <w:r/>
    </w:p>
    <w:p>
      <w:pPr>
        <w:pStyle w:val="856"/>
        <w:jc w:val="center"/>
        <w:spacing w:beforeAutospacing="0" w:afterAutospacing="0"/>
        <w:rPr>
          <w:rFonts w:hint="eastAsia" w:ascii="黑体" w:hAnsi="宋体" w:eastAsia="黑体" w:cs="黑体"/>
          <w:i/>
          <w:color w:val="000000"/>
          <w:sz w:val="32"/>
          <w:szCs w:val="32"/>
          <w:highlight w:val="none"/>
          <w:u w:val="single"/>
        </w:rPr>
      </w:pPr>
      <w:r/>
      <w:bookmarkStart w:id="187" w:name="_Toc120614284"/>
      <w:r/>
      <w:r/>
    </w:p>
    <w:p>
      <w:pPr>
        <w:pStyle w:val="856"/>
        <w:jc w:val="center"/>
        <w:spacing w:beforeAutospacing="0" w:afterAutospacing="0"/>
        <w:rPr>
          <w:rFonts w:hint="eastAsia" w:ascii="黑体" w:hAnsi="宋体" w:eastAsia="黑体" w:cs="黑体"/>
          <w:i/>
          <w:color w:val="000000"/>
          <w:sz w:val="32"/>
          <w:szCs w:val="32"/>
          <w:highlight w:val="none"/>
          <w:u w:val="single"/>
        </w:rPr>
      </w:pPr>
      <w:r>
        <w:rPr>
          <w:rFonts w:hint="eastAsia" w:ascii="黑体" w:hAnsi="宋体" w:eastAsia="黑体" w:cs="黑体"/>
          <w:i/>
          <w:color w:val="000000"/>
          <w:sz w:val="32"/>
          <w:szCs w:val="32"/>
          <w:highlight w:val="none"/>
          <w:u w:val="single"/>
        </w:rPr>
      </w:r>
      <w:r/>
    </w:p>
    <w:p>
      <w:pPr>
        <w:pStyle w:val="856"/>
        <w:jc w:val="center"/>
        <w:spacing w:beforeAutospacing="0" w:afterAutospacing="0"/>
        <w:rPr>
          <w:rFonts w:hint="eastAsia" w:ascii="黑体" w:hAnsi="宋体" w:eastAsia="黑体" w:cs="黑体"/>
          <w:i/>
          <w:color w:val="000000"/>
          <w:sz w:val="32"/>
          <w:szCs w:val="32"/>
          <w:highlight w:val="none"/>
          <w:u w:val="single"/>
        </w:rPr>
      </w:pPr>
      <w:r>
        <w:rPr>
          <w:rFonts w:hint="eastAsia" w:ascii="黑体" w:hAnsi="宋体" w:eastAsia="黑体" w:cs="黑体"/>
          <w:i/>
          <w:color w:val="000000"/>
          <w:sz w:val="32"/>
          <w:szCs w:val="32"/>
          <w:highlight w:val="none"/>
          <w:u w:val="single"/>
        </w:rPr>
      </w:r>
      <w:r/>
    </w:p>
    <w:p>
      <w:pPr>
        <w:pStyle w:val="856"/>
        <w:jc w:val="center"/>
        <w:spacing w:beforeAutospacing="0" w:afterAutospacing="0"/>
        <w:rPr>
          <w:rFonts w:hint="eastAsia" w:ascii="黑体" w:hAnsi="宋体" w:eastAsia="黑体" w:cs="黑体"/>
          <w:i/>
          <w:color w:val="000000"/>
          <w:sz w:val="32"/>
          <w:szCs w:val="32"/>
          <w:highlight w:val="none"/>
          <w:u w:val="single"/>
        </w:rPr>
      </w:pPr>
      <w:r>
        <w:rPr>
          <w:rFonts w:hint="eastAsia" w:ascii="黑体" w:hAnsi="宋体" w:eastAsia="黑体" w:cs="黑体"/>
          <w:i/>
          <w:color w:val="000000"/>
          <w:sz w:val="32"/>
          <w:szCs w:val="32"/>
          <w:highlight w:val="none"/>
          <w:u w:val="single"/>
        </w:rPr>
      </w:r>
      <w:r/>
    </w:p>
    <w:p>
      <w:pPr>
        <w:pStyle w:val="856"/>
        <w:jc w:val="center"/>
        <w:spacing w:beforeAutospacing="0" w:afterAutospacing="0"/>
        <w:rPr>
          <w:rFonts w:hint="eastAsia" w:ascii="黑体" w:hAnsi="宋体" w:eastAsia="黑体" w:cs="黑体"/>
          <w:i/>
          <w:color w:val="000000"/>
          <w:sz w:val="32"/>
          <w:szCs w:val="32"/>
          <w:highlight w:val="none"/>
          <w:u w:val="single"/>
        </w:rPr>
      </w:pPr>
      <w:r>
        <w:rPr>
          <w:rFonts w:hint="eastAsia" w:ascii="黑体" w:hAnsi="宋体" w:eastAsia="黑体" w:cs="黑体"/>
          <w:i/>
          <w:color w:val="000000"/>
          <w:sz w:val="32"/>
          <w:szCs w:val="32"/>
          <w:highlight w:val="none"/>
          <w:u w:val="single"/>
        </w:rPr>
      </w:r>
      <w:r/>
    </w:p>
    <w:p>
      <w:pPr>
        <w:pStyle w:val="856"/>
        <w:jc w:val="center"/>
        <w:spacing w:beforeAutospacing="0" w:afterAutospacing="0"/>
        <w:rPr>
          <w:rFonts w:hint="eastAsia" w:ascii="黑体" w:hAnsi="宋体" w:eastAsia="黑体" w:cs="黑体"/>
          <w:i/>
          <w:color w:val="000000"/>
          <w:sz w:val="32"/>
          <w:szCs w:val="32"/>
          <w:highlight w:val="none"/>
          <w:u w:val="single"/>
        </w:rPr>
      </w:pPr>
      <w:r>
        <w:rPr>
          <w:rFonts w:hint="eastAsia" w:ascii="黑体" w:hAnsi="宋体" w:eastAsia="黑体" w:cs="黑体"/>
          <w:i/>
          <w:color w:val="000000"/>
          <w:sz w:val="32"/>
          <w:szCs w:val="32"/>
          <w:highlight w:val="none"/>
          <w:u w:val="single"/>
        </w:rPr>
      </w:r>
      <w:r/>
    </w:p>
    <w:p>
      <w:pPr>
        <w:pStyle w:val="856"/>
        <w:jc w:val="center"/>
        <w:spacing w:beforeAutospacing="0" w:afterAutospacing="0"/>
        <w:rPr>
          <w:rFonts w:hint="eastAsia" w:ascii="黑体" w:hAnsi="宋体" w:eastAsia="黑体" w:cs="黑体"/>
          <w:i/>
          <w:color w:val="000000"/>
          <w:sz w:val="32"/>
          <w:szCs w:val="32"/>
          <w:highlight w:val="none"/>
          <w:u w:val="single"/>
        </w:rPr>
      </w:pPr>
      <w:r>
        <w:rPr>
          <w:rFonts w:hint="eastAsia" w:ascii="黑体" w:hAnsi="宋体" w:eastAsia="黑体" w:cs="黑体"/>
          <w:i/>
          <w:color w:val="000000"/>
          <w:sz w:val="32"/>
          <w:szCs w:val="32"/>
          <w:highlight w:val="none"/>
          <w:u w:val="single"/>
        </w:rPr>
      </w:r>
      <w:r/>
    </w:p>
    <w:p>
      <w:pPr>
        <w:pStyle w:val="856"/>
        <w:jc w:val="center"/>
        <w:spacing w:beforeAutospacing="0" w:afterAutospacing="0"/>
        <w:rPr>
          <w:rFonts w:hint="eastAsia" w:ascii="黑体" w:hAnsi="宋体" w:eastAsia="黑体" w:cs="黑体"/>
          <w:i/>
          <w:color w:val="000000"/>
          <w:sz w:val="32"/>
          <w:szCs w:val="32"/>
          <w:highlight w:val="none"/>
          <w:u w:val="single"/>
        </w:rPr>
      </w:pPr>
      <w:r>
        <w:rPr>
          <w:rFonts w:hint="eastAsia" w:ascii="黑体" w:hAnsi="宋体" w:eastAsia="黑体" w:cs="黑体"/>
          <w:i/>
          <w:color w:val="000000"/>
          <w:sz w:val="32"/>
          <w:szCs w:val="32"/>
          <w:highlight w:val="none"/>
          <w:u w:val="single"/>
        </w:rPr>
      </w:r>
      <w:r/>
    </w:p>
    <w:p>
      <w:pPr>
        <w:pStyle w:val="856"/>
        <w:jc w:val="center"/>
        <w:spacing w:beforeAutospacing="0" w:afterAutospacing="0"/>
        <w:rPr>
          <w:rFonts w:hint="eastAsia" w:ascii="黑体" w:hAnsi="宋体" w:eastAsia="黑体" w:cs="黑体"/>
          <w:i/>
          <w:color w:val="000000"/>
          <w:sz w:val="32"/>
          <w:szCs w:val="32"/>
          <w:highlight w:val="none"/>
          <w:u w:val="single"/>
        </w:rPr>
      </w:pPr>
      <w:r>
        <w:rPr>
          <w:rFonts w:hint="eastAsia" w:ascii="黑体" w:hAnsi="宋体" w:eastAsia="黑体" w:cs="黑体"/>
          <w:i/>
          <w:color w:val="000000"/>
          <w:sz w:val="32"/>
          <w:szCs w:val="32"/>
          <w:highlight w:val="none"/>
          <w:u w:val="single"/>
        </w:rPr>
      </w:r>
      <w:r/>
    </w:p>
    <w:p>
      <w:pPr>
        <w:pStyle w:val="856"/>
        <w:jc w:val="center"/>
        <w:spacing w:beforeAutospacing="0" w:afterAutospacing="0"/>
        <w:rPr>
          <w:rFonts w:hint="eastAsia" w:ascii="黑体" w:hAnsi="宋体" w:eastAsia="黑体" w:cs="黑体"/>
          <w:i/>
          <w:color w:val="000000"/>
          <w:sz w:val="32"/>
          <w:szCs w:val="32"/>
          <w:highlight w:val="none"/>
          <w:u w:val="single"/>
        </w:rPr>
      </w:pPr>
      <w:r>
        <w:rPr>
          <w:rFonts w:hint="eastAsia" w:ascii="黑体" w:hAnsi="宋体" w:eastAsia="黑体" w:cs="黑体"/>
          <w:i/>
          <w:color w:val="000000"/>
          <w:sz w:val="32"/>
          <w:szCs w:val="32"/>
          <w:highlight w:val="none"/>
          <w:u w:val="single"/>
        </w:rPr>
      </w:r>
      <w:r/>
    </w:p>
    <w:p>
      <w:pPr>
        <w:pStyle w:val="856"/>
        <w:jc w:val="center"/>
        <w:spacing w:beforeAutospacing="0" w:afterAutospacing="0"/>
        <w:rPr>
          <w:rFonts w:hint="eastAsia" w:ascii="黑体" w:hAnsi="宋体" w:eastAsia="黑体" w:cs="黑体"/>
          <w:i/>
          <w:color w:val="000000"/>
          <w:sz w:val="32"/>
          <w:szCs w:val="32"/>
          <w:highlight w:val="none"/>
          <w:u w:val="single"/>
        </w:rPr>
      </w:pPr>
      <w:r>
        <w:rPr>
          <w:rFonts w:hint="eastAsia" w:ascii="黑体" w:hAnsi="宋体" w:eastAsia="黑体" w:cs="黑体"/>
          <w:i/>
          <w:color w:val="000000"/>
          <w:sz w:val="32"/>
          <w:szCs w:val="32"/>
          <w:highlight w:val="none"/>
          <w:u w:val="single"/>
        </w:rPr>
      </w:r>
      <w:r/>
    </w:p>
    <w:p>
      <w:pPr>
        <w:pStyle w:val="856"/>
        <w:jc w:val="center"/>
        <w:spacing w:beforeAutospacing="0" w:afterAutospacing="0"/>
        <w:rPr>
          <w:rFonts w:hint="eastAsia" w:ascii="黑体" w:hAnsi="宋体" w:eastAsia="黑体" w:cs="黑体"/>
          <w:i/>
          <w:color w:val="000000"/>
          <w:sz w:val="32"/>
          <w:szCs w:val="32"/>
          <w:highlight w:val="none"/>
          <w:u w:val="single"/>
        </w:rPr>
      </w:pPr>
      <w:r>
        <w:rPr>
          <w:rFonts w:hint="eastAsia" w:ascii="黑体" w:hAnsi="宋体" w:eastAsia="黑体" w:cs="黑体"/>
          <w:i/>
          <w:color w:val="000000"/>
          <w:sz w:val="32"/>
          <w:szCs w:val="32"/>
          <w:highlight w:val="none"/>
          <w:u w:val="single"/>
        </w:rPr>
      </w:r>
      <w:r/>
    </w:p>
    <w:p>
      <w:pPr>
        <w:pStyle w:val="856"/>
        <w:jc w:val="center"/>
        <w:spacing w:beforeAutospacing="0" w:afterAutospacing="0"/>
        <w:rPr>
          <w:rFonts w:hint="eastAsia" w:ascii="黑体" w:hAnsi="宋体" w:eastAsia="黑体" w:cs="黑体"/>
          <w:i/>
          <w:color w:val="000000"/>
          <w:sz w:val="32"/>
          <w:szCs w:val="32"/>
          <w:highlight w:val="none"/>
          <w:u w:val="single"/>
        </w:rPr>
      </w:pPr>
      <w:r>
        <w:rPr>
          <w:rFonts w:hint="eastAsia" w:ascii="黑体" w:hAnsi="宋体" w:eastAsia="黑体" w:cs="黑体"/>
          <w:i/>
          <w:color w:val="000000"/>
          <w:sz w:val="32"/>
          <w:szCs w:val="32"/>
          <w:highlight w:val="none"/>
          <w:u w:val="single"/>
        </w:rPr>
      </w:r>
      <w:r/>
    </w:p>
    <w:p>
      <w:pPr>
        <w:pStyle w:val="856"/>
        <w:jc w:val="center"/>
        <w:spacing w:beforeAutospacing="0" w:afterAutospacing="0"/>
        <w:rPr>
          <w:highlight w:val="none"/>
        </w:rPr>
      </w:pPr>
      <w:r>
        <w:rPr>
          <w:rFonts w:hint="eastAsia" w:ascii="黑体" w:hAnsi="宋体" w:eastAsia="黑体" w:cs="黑体"/>
          <w:i/>
          <w:color w:val="000000"/>
          <w:sz w:val="32"/>
          <w:szCs w:val="32"/>
          <w:highlight w:val="none"/>
          <w:u w:val="single"/>
          <w:lang w:eastAsia="zh-CN"/>
        </w:rPr>
        <w:t xml:space="preserve">八</w:t>
      </w:r>
      <w:r>
        <w:rPr>
          <w:rFonts w:hint="eastAsia" w:ascii="黑体" w:hAnsi="宋体" w:eastAsia="黑体" w:cs="黑体"/>
          <w:i/>
          <w:color w:val="000000"/>
          <w:sz w:val="32"/>
          <w:szCs w:val="32"/>
          <w:highlight w:val="none"/>
          <w:u w:val="single"/>
        </w:rPr>
        <w:t xml:space="preserve">、法人授权书</w:t>
      </w:r>
      <w:r/>
    </w:p>
    <w:p>
      <w:pPr>
        <w:pStyle w:val="856"/>
        <w:ind w:firstLine="480"/>
        <w:jc w:val="both"/>
        <w:keepLines w:val="0"/>
        <w:keepNext w:val="0"/>
        <w:pageBreakBefore w:val="0"/>
        <w:spacing w:beforeAutospacing="0" w:afterAutospacing="0" w:line="500" w:lineRule="exact"/>
        <w:widowControl w:val="off"/>
        <w:tabs>
          <w:tab w:val="left" w:pos="360" w:leader="none"/>
        </w:tabs>
        <w:rPr>
          <w:highlight w:val="none"/>
        </w:rPr>
      </w:pPr>
      <w:r/>
      <w:bookmarkStart w:id="188" w:name="_Hlt26955070"/>
      <w:r/>
      <w:bookmarkStart w:id="189" w:name="_Hlt26671380"/>
      <w:r/>
      <w:bookmarkStart w:id="190" w:name="_格式3__银行出具的资信证明"/>
      <w:r>
        <w:rPr>
          <w:rFonts w:ascii="Times New Roman" w:hAnsi="Times New Roman"/>
          <w:color w:val="000000"/>
          <w:highlight w:val="none"/>
        </w:rPr>
        <w:t xml:space="preserve">本授权书声明：____________（投标人名称）授权________________（被授权人的姓名）为我方就JSZC-</w:t>
      </w:r>
      <w:r>
        <w:rPr>
          <w:rFonts w:ascii="Times New Roman" w:hAnsi="Times New Roman"/>
          <w:color w:val="000000"/>
          <w:highlight w:val="none"/>
          <w:u w:val="single"/>
        </w:rPr>
        <w:t xml:space="preserve">        </w:t>
      </w:r>
      <w:r>
        <w:rPr>
          <w:rFonts w:ascii="Times New Roman" w:hAnsi="Times New Roman"/>
          <w:color w:val="000000"/>
          <w:highlight w:val="none"/>
        </w:rPr>
        <w:t xml:space="preserve">号项目采购活动的合法代理人，以本单位名义全权处理一切与该项目采购有关的事务。</w:t>
      </w:r>
      <w:r/>
    </w:p>
    <w:p>
      <w:pPr>
        <w:pStyle w:val="856"/>
        <w:ind w:firstLine="480"/>
        <w:jc w:val="both"/>
        <w:keepLines w:val="0"/>
        <w:keepNext w:val="0"/>
        <w:pageBreakBefore w:val="0"/>
        <w:spacing w:beforeAutospacing="0" w:afterAutospacing="0" w:line="500" w:lineRule="exact"/>
        <w:widowControl w:val="off"/>
        <w:tabs>
          <w:tab w:val="left" w:pos="360" w:leader="none"/>
        </w:tabs>
        <w:rPr>
          <w:highlight w:val="none"/>
        </w:rPr>
      </w:pPr>
      <w:r>
        <w:rPr>
          <w:rFonts w:ascii="Times New Roman" w:hAnsi="Times New Roman"/>
          <w:color w:val="000000"/>
          <w:highlight w:val="none"/>
        </w:rPr>
        <w:t xml:space="preserve">本授权书于______年____月____日起生效，特此声明。</w:t>
      </w:r>
      <w:r/>
    </w:p>
    <w:p>
      <w:pPr>
        <w:pStyle w:val="856"/>
        <w:jc w:val="both"/>
        <w:keepLines w:val="0"/>
        <w:keepNext w:val="0"/>
        <w:pageBreakBefore w:val="0"/>
        <w:spacing w:beforeAutospacing="0" w:afterAutospacing="0" w:line="500" w:lineRule="exact"/>
        <w:widowControl w:val="off"/>
        <w:tabs>
          <w:tab w:val="left" w:pos="360" w:leader="none"/>
        </w:tabs>
        <w:rPr>
          <w:highlight w:val="none"/>
        </w:rPr>
      </w:pPr>
      <w:r>
        <w:rPr>
          <w:rFonts w:ascii="Times New Roman" w:hAnsi="Times New Roman"/>
          <w:color w:val="000000"/>
          <w:highlight w:val="none"/>
        </w:rPr>
        <w:t xml:space="preserve">        被授权人身份证号码：</w:t>
      </w:r>
      <w:r>
        <w:rPr>
          <w:rFonts w:ascii="Times New Roman" w:hAnsi="Times New Roman"/>
          <w:color w:val="000000"/>
          <w:highlight w:val="none"/>
          <w:u w:val="single"/>
        </w:rPr>
        <w:t xml:space="preserve">                              </w:t>
      </w:r>
      <w:r/>
    </w:p>
    <w:p>
      <w:pPr>
        <w:pStyle w:val="856"/>
        <w:jc w:val="both"/>
        <w:keepLines w:val="0"/>
        <w:keepNext w:val="0"/>
        <w:pageBreakBefore w:val="0"/>
        <w:spacing w:beforeAutospacing="0" w:afterAutospacing="0" w:line="500" w:lineRule="exact"/>
        <w:widowControl w:val="off"/>
        <w:tabs>
          <w:tab w:val="left" w:pos="360" w:leader="none"/>
        </w:tabs>
        <w:rPr>
          <w:highlight w:val="none"/>
        </w:rPr>
      </w:pPr>
      <w:r>
        <w:rPr>
          <w:rFonts w:ascii="Times New Roman" w:hAnsi="Times New Roman"/>
          <w:color w:val="000000"/>
          <w:highlight w:val="none"/>
        </w:rPr>
        <w:t xml:space="preserve">        被授权人联系电话：（手机）</w:t>
      </w:r>
      <w:r>
        <w:rPr>
          <w:rFonts w:ascii="Times New Roman" w:hAnsi="Times New Roman"/>
          <w:color w:val="000000"/>
          <w:highlight w:val="none"/>
          <w:u w:val="single"/>
        </w:rPr>
        <w:t xml:space="preserve">                          </w:t>
      </w:r>
      <w:r/>
    </w:p>
    <w:p>
      <w:pPr>
        <w:pStyle w:val="856"/>
        <w:ind w:firstLine="480"/>
        <w:jc w:val="both"/>
        <w:keepLines w:val="0"/>
        <w:keepNext w:val="0"/>
        <w:pageBreakBefore w:val="0"/>
        <w:spacing w:beforeAutospacing="0" w:afterAutospacing="0" w:line="500" w:lineRule="exact"/>
        <w:widowControl w:val="off"/>
        <w:tabs>
          <w:tab w:val="left" w:pos="360" w:leader="none"/>
        </w:tabs>
        <w:rPr>
          <w:highlight w:val="none"/>
        </w:rPr>
      </w:pPr>
      <w:r>
        <w:rPr>
          <w:rFonts w:ascii="Times New Roman" w:hAnsi="Times New Roman"/>
          <w:color w:val="000000"/>
          <w:highlight w:val="none"/>
        </w:rPr>
        <w:t xml:space="preserve">授权单位名称：</w:t>
      </w:r>
      <w:r>
        <w:rPr>
          <w:rFonts w:ascii="Times New Roman" w:hAnsi="Times New Roman"/>
          <w:color w:val="000000"/>
          <w:highlight w:val="none"/>
          <w:u w:val="single"/>
        </w:rPr>
        <w:t xml:space="preserve">（加盖CA电子公章）</w:t>
      </w:r>
      <w:r/>
    </w:p>
    <w:p>
      <w:pPr>
        <w:pStyle w:val="856"/>
        <w:ind w:firstLine="480"/>
        <w:jc w:val="both"/>
        <w:keepLines w:val="0"/>
        <w:keepNext w:val="0"/>
        <w:pageBreakBefore w:val="0"/>
        <w:spacing w:beforeAutospacing="0" w:afterAutospacing="0" w:line="500" w:lineRule="exact"/>
        <w:widowControl w:val="off"/>
        <w:tabs>
          <w:tab w:val="left" w:pos="360" w:leader="none"/>
        </w:tabs>
        <w:rPr>
          <w:highlight w:val="none"/>
        </w:rPr>
      </w:pPr>
      <w:r>
        <w:rPr>
          <w:rFonts w:ascii="Times New Roman" w:hAnsi="Times New Roman"/>
          <w:color w:val="000000"/>
          <w:highlight w:val="none"/>
        </w:rPr>
        <w:t xml:space="preserve">单位地址：</w:t>
      </w:r>
      <w:r>
        <w:rPr>
          <w:rFonts w:ascii="Times New Roman" w:hAnsi="Times New Roman"/>
          <w:color w:val="000000"/>
          <w:highlight w:val="none"/>
          <w:u w:val="single"/>
        </w:rPr>
        <w:t xml:space="preserve">                                         </w:t>
      </w:r>
      <w:r/>
    </w:p>
    <w:p>
      <w:pPr>
        <w:pStyle w:val="856"/>
        <w:ind w:firstLine="480"/>
        <w:jc w:val="both"/>
        <w:keepLines w:val="0"/>
        <w:keepNext w:val="0"/>
        <w:pageBreakBefore w:val="0"/>
        <w:spacing w:beforeAutospacing="0" w:afterAutospacing="0" w:line="500" w:lineRule="exact"/>
        <w:widowControl w:val="off"/>
        <w:tabs>
          <w:tab w:val="left" w:pos="360" w:leader="none"/>
        </w:tabs>
        <w:rPr>
          <w:highlight w:val="none"/>
        </w:rPr>
      </w:pPr>
      <w:r>
        <w:rPr>
          <w:rFonts w:ascii="Times New Roman" w:hAnsi="Times New Roman"/>
          <w:color w:val="000000"/>
          <w:highlight w:val="none"/>
        </w:rPr>
        <w:t xml:space="preserve">日期：</w:t>
      </w:r>
      <w:r>
        <w:rPr>
          <w:rFonts w:ascii="Times New Roman" w:hAnsi="Times New Roman"/>
          <w:color w:val="000000"/>
          <w:highlight w:val="none"/>
          <w:u w:val="single"/>
        </w:rPr>
        <w:t xml:space="preserve">                                         </w:t>
      </w:r>
      <w:r/>
    </w:p>
    <w:p>
      <w:pPr>
        <w:pStyle w:val="856"/>
        <w:ind w:firstLine="960"/>
        <w:jc w:val="both"/>
        <w:keepLines w:val="0"/>
        <w:keepNext w:val="0"/>
        <w:pageBreakBefore w:val="0"/>
        <w:spacing w:beforeAutospacing="0" w:afterAutospacing="0" w:line="500" w:lineRule="exact"/>
        <w:widowControl w:val="off"/>
        <w:rPr>
          <w:rFonts w:hint="eastAsia" w:ascii="宋体" w:hAnsi="宋体" w:eastAsia="宋体" w:cs="宋体"/>
          <w:b/>
          <w:color w:val="000000"/>
          <w:highlight w:val="none"/>
        </w:rPr>
      </w:pPr>
      <w:r>
        <w:rPr>
          <w:highlight w:val="none"/>
        </w:rPr>
        <w:t xml:space="preserve"> </w:t>
      </w:r>
      <w:r/>
    </w:p>
    <w:p>
      <w:pPr>
        <w:pStyle w:val="856"/>
        <w:ind w:firstLine="420"/>
        <w:spacing w:beforeAutospacing="0" w:afterAutospacing="0" w:line="360" w:lineRule="auto"/>
        <w:rPr>
          <w:rFonts w:hint="eastAsia" w:ascii="宋体" w:hAnsi="宋体"/>
        </w:rPr>
      </w:pPr>
      <w:r>
        <w:rPr>
          <w:rFonts w:hint="eastAsia" w:ascii="宋体" w:hAnsi="宋体"/>
        </w:rPr>
      </w:r>
      <w:r/>
    </w:p>
    <w:tbl>
      <w:tblPr>
        <w:tblStyle w:val="848"/>
        <w:tblW w:w="8597"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4382"/>
        <w:gridCol w:w="4215"/>
      </w:tblGrid>
      <w:tr>
        <w:trPr>
          <w:jc w:val="center"/>
          <w:trHeight w:val="583"/>
        </w:trPr>
        <w:tc>
          <w:tcPr>
            <w:tcBorders>
              <w:top w:val="single" w:color="auto" w:sz="4" w:space="0"/>
              <w:left w:val="single" w:color="auto" w:sz="4" w:space="0"/>
              <w:bottom w:val="single" w:color="auto" w:sz="4" w:space="0"/>
              <w:right w:val="single" w:color="auto" w:sz="4" w:space="0"/>
            </w:tcBorders>
            <w:tcW w:w="4382" w:type="dxa"/>
            <w:vAlign w:val="center"/>
            <w:textDirection w:val="lrTb"/>
            <w:noWrap w:val="false"/>
          </w:tcPr>
          <w:p>
            <w:pPr>
              <w:jc w:val="center"/>
              <w:spacing w:line="600" w:lineRule="exact"/>
              <w:rPr>
                <w:color w:val="000000"/>
                <w:sz w:val="24"/>
              </w:rPr>
            </w:pPr>
            <w:r>
              <w:rPr>
                <w:rFonts w:hint="eastAsia"/>
                <w:color w:val="000000"/>
                <w:sz w:val="24"/>
              </w:rPr>
              <w:t xml:space="preserve">法定代表人有效身份证明</w:t>
            </w:r>
            <w:r/>
          </w:p>
        </w:tc>
        <w:tc>
          <w:tcPr>
            <w:tcBorders>
              <w:top w:val="single" w:color="auto" w:sz="4" w:space="0"/>
              <w:left w:val="single" w:color="auto" w:sz="4" w:space="0"/>
              <w:bottom w:val="single" w:color="auto" w:sz="4" w:space="0"/>
              <w:right w:val="single" w:color="auto" w:sz="4" w:space="0"/>
            </w:tcBorders>
            <w:tcW w:w="4215" w:type="dxa"/>
            <w:vAlign w:val="center"/>
            <w:textDirection w:val="lrTb"/>
            <w:noWrap w:val="false"/>
          </w:tcPr>
          <w:p>
            <w:pPr>
              <w:jc w:val="center"/>
              <w:spacing w:line="600" w:lineRule="exact"/>
              <w:rPr>
                <w:color w:val="000000"/>
                <w:sz w:val="24"/>
              </w:rPr>
            </w:pPr>
            <w:r>
              <w:rPr>
                <w:rFonts w:hint="eastAsia"/>
                <w:color w:val="000000"/>
                <w:sz w:val="24"/>
              </w:rPr>
              <w:t xml:space="preserve">法定代表人有效身份证明</w:t>
            </w:r>
            <w:r/>
          </w:p>
        </w:tc>
      </w:tr>
      <w:tr>
        <w:trPr>
          <w:jc w:val="center"/>
          <w:trHeight w:val="2350"/>
        </w:trPr>
        <w:tc>
          <w:tcPr>
            <w:tcBorders>
              <w:top w:val="single" w:color="auto" w:sz="4" w:space="0"/>
              <w:left w:val="single" w:color="auto" w:sz="4" w:space="0"/>
              <w:bottom w:val="single" w:color="auto" w:sz="4" w:space="0"/>
              <w:right w:val="single" w:color="auto" w:sz="4" w:space="0"/>
            </w:tcBorders>
            <w:tcW w:w="4382" w:type="dxa"/>
            <w:vAlign w:val="center"/>
            <w:textDirection w:val="lrTb"/>
            <w:noWrap w:val="false"/>
          </w:tcPr>
          <w:p>
            <w:pPr>
              <w:jc w:val="center"/>
              <w:spacing w:line="600" w:lineRule="exact"/>
              <w:rPr>
                <w:color w:val="000000"/>
                <w:sz w:val="24"/>
              </w:rPr>
            </w:pPr>
            <w:r>
              <w:rPr>
                <w:rFonts w:hint="eastAsia"/>
                <w:color w:val="000000"/>
                <w:sz w:val="24"/>
              </w:rPr>
              <w:t xml:space="preserve">正面</w:t>
            </w:r>
            <w:r/>
          </w:p>
        </w:tc>
        <w:tc>
          <w:tcPr>
            <w:tcBorders>
              <w:top w:val="single" w:color="auto" w:sz="4" w:space="0"/>
              <w:left w:val="single" w:color="auto" w:sz="4" w:space="0"/>
              <w:bottom w:val="single" w:color="auto" w:sz="4" w:space="0"/>
              <w:right w:val="single" w:color="auto" w:sz="4" w:space="0"/>
            </w:tcBorders>
            <w:tcW w:w="4215" w:type="dxa"/>
            <w:vAlign w:val="center"/>
            <w:textDirection w:val="lrTb"/>
            <w:noWrap w:val="false"/>
          </w:tcPr>
          <w:p>
            <w:pPr>
              <w:jc w:val="center"/>
              <w:spacing w:line="600" w:lineRule="exact"/>
              <w:rPr>
                <w:color w:val="000000"/>
                <w:sz w:val="24"/>
              </w:rPr>
            </w:pPr>
            <w:r>
              <w:rPr>
                <w:rFonts w:hint="eastAsia"/>
                <w:color w:val="000000"/>
                <w:sz w:val="24"/>
              </w:rPr>
              <w:t xml:space="preserve">背面</w:t>
            </w:r>
            <w:r/>
          </w:p>
        </w:tc>
      </w:tr>
    </w:tbl>
    <w:p>
      <w:pPr>
        <w:pStyle w:val="856"/>
        <w:spacing w:beforeAutospacing="0" w:afterAutospacing="0"/>
        <w:tabs>
          <w:tab w:val="left" w:pos="360" w:leader="none"/>
        </w:tabs>
        <w:rPr>
          <w:rFonts w:hint="eastAsia" w:ascii="宋体" w:hAnsi="宋体"/>
          <w:color w:val="000000"/>
        </w:rPr>
      </w:pPr>
      <w:r>
        <w:rPr>
          <w:rFonts w:hint="eastAsia" w:ascii="宋体" w:hAnsi="宋体"/>
          <w:color w:val="000000"/>
        </w:rPr>
      </w:r>
      <w:r/>
    </w:p>
    <w:p>
      <w:pPr>
        <w:pStyle w:val="856"/>
        <w:spacing w:beforeAutospacing="0" w:afterAutospacing="0"/>
        <w:tabs>
          <w:tab w:val="left" w:pos="360" w:leader="none"/>
        </w:tabs>
        <w:rPr>
          <w:rFonts w:hint="eastAsia" w:ascii="宋体" w:hAnsi="宋体"/>
          <w:color w:val="000000"/>
        </w:rPr>
      </w:pPr>
      <w:r>
        <w:rPr>
          <w:rFonts w:hint="eastAsia" w:ascii="宋体" w:hAnsi="宋体"/>
          <w:color w:val="000000"/>
        </w:rPr>
      </w:r>
      <w:r/>
    </w:p>
    <w:p>
      <w:pPr>
        <w:pStyle w:val="856"/>
        <w:spacing w:beforeAutospacing="0" w:afterAutospacing="0"/>
        <w:tabs>
          <w:tab w:val="left" w:pos="360" w:leader="none"/>
        </w:tabs>
        <w:rPr>
          <w:rFonts w:hint="eastAsia" w:ascii="宋体" w:hAnsi="宋体"/>
          <w:color w:val="000000"/>
        </w:rPr>
      </w:pPr>
      <w:r>
        <w:rPr>
          <w:rFonts w:hint="eastAsia" w:ascii="宋体" w:hAnsi="宋体"/>
          <w:color w:val="000000"/>
        </w:rPr>
      </w:r>
      <w:r/>
    </w:p>
    <w:tbl>
      <w:tblPr>
        <w:tblStyle w:val="848"/>
        <w:tblW w:w="8784"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4395"/>
        <w:gridCol w:w="4389"/>
      </w:tblGrid>
      <w:tr>
        <w:trPr>
          <w:jc w:val="center"/>
          <w:trHeight w:val="583"/>
        </w:trPr>
        <w:tc>
          <w:tcPr>
            <w:tcBorders>
              <w:top w:val="single" w:color="auto" w:sz="4" w:space="0"/>
              <w:left w:val="single" w:color="auto" w:sz="4" w:space="0"/>
              <w:bottom w:val="single" w:color="auto" w:sz="4" w:space="0"/>
              <w:right w:val="single" w:color="auto" w:sz="4" w:space="0"/>
            </w:tcBorders>
            <w:tcW w:w="4395" w:type="dxa"/>
            <w:vAlign w:val="center"/>
            <w:textDirection w:val="lrTb"/>
            <w:noWrap w:val="false"/>
          </w:tcPr>
          <w:p>
            <w:pPr>
              <w:jc w:val="center"/>
              <w:spacing w:line="600" w:lineRule="exact"/>
              <w:rPr>
                <w:color w:val="000000"/>
                <w:sz w:val="24"/>
              </w:rPr>
            </w:pPr>
            <w:r>
              <w:rPr>
                <w:rFonts w:hint="eastAsia"/>
                <w:color w:val="000000"/>
                <w:sz w:val="24"/>
              </w:rPr>
              <w:t xml:space="preserve">被授权人有效身份证明</w:t>
            </w:r>
            <w:r/>
          </w:p>
        </w:tc>
        <w:tc>
          <w:tcPr>
            <w:tcBorders>
              <w:top w:val="single" w:color="auto" w:sz="4" w:space="0"/>
              <w:left w:val="single" w:color="auto" w:sz="4" w:space="0"/>
              <w:bottom w:val="single" w:color="auto" w:sz="4" w:space="0"/>
              <w:right w:val="single" w:color="auto" w:sz="4" w:space="0"/>
            </w:tcBorders>
            <w:tcW w:w="4389" w:type="dxa"/>
            <w:vAlign w:val="center"/>
            <w:textDirection w:val="lrTb"/>
            <w:noWrap w:val="false"/>
          </w:tcPr>
          <w:p>
            <w:pPr>
              <w:jc w:val="center"/>
              <w:spacing w:line="600" w:lineRule="exact"/>
              <w:rPr>
                <w:color w:val="000000"/>
                <w:sz w:val="24"/>
              </w:rPr>
            </w:pPr>
            <w:r>
              <w:rPr>
                <w:rFonts w:hint="eastAsia"/>
                <w:color w:val="000000"/>
                <w:sz w:val="24"/>
              </w:rPr>
              <w:t xml:space="preserve">被授权人有效身份证明</w:t>
            </w:r>
            <w:r/>
          </w:p>
        </w:tc>
      </w:tr>
      <w:tr>
        <w:trPr>
          <w:jc w:val="center"/>
          <w:trHeight w:val="2350"/>
        </w:trPr>
        <w:tc>
          <w:tcPr>
            <w:tcBorders>
              <w:top w:val="single" w:color="auto" w:sz="4" w:space="0"/>
              <w:left w:val="single" w:color="auto" w:sz="4" w:space="0"/>
              <w:bottom w:val="single" w:color="auto" w:sz="4" w:space="0"/>
              <w:right w:val="single" w:color="auto" w:sz="4" w:space="0"/>
            </w:tcBorders>
            <w:tcW w:w="4395" w:type="dxa"/>
            <w:vAlign w:val="center"/>
            <w:textDirection w:val="lrTb"/>
            <w:noWrap w:val="false"/>
          </w:tcPr>
          <w:p>
            <w:pPr>
              <w:jc w:val="center"/>
              <w:spacing w:line="600" w:lineRule="exact"/>
              <w:rPr>
                <w:color w:val="000000"/>
                <w:sz w:val="24"/>
              </w:rPr>
            </w:pPr>
            <w:r>
              <w:rPr>
                <w:rFonts w:hint="eastAsia"/>
                <w:color w:val="000000"/>
                <w:sz w:val="24"/>
              </w:rPr>
              <w:t xml:space="preserve">正面</w:t>
            </w:r>
            <w:r/>
          </w:p>
        </w:tc>
        <w:tc>
          <w:tcPr>
            <w:tcBorders>
              <w:top w:val="single" w:color="auto" w:sz="4" w:space="0"/>
              <w:left w:val="single" w:color="auto" w:sz="4" w:space="0"/>
              <w:bottom w:val="single" w:color="auto" w:sz="4" w:space="0"/>
              <w:right w:val="single" w:color="auto" w:sz="4" w:space="0"/>
            </w:tcBorders>
            <w:tcW w:w="4389" w:type="dxa"/>
            <w:vAlign w:val="center"/>
            <w:textDirection w:val="lrTb"/>
            <w:noWrap w:val="false"/>
          </w:tcPr>
          <w:p>
            <w:pPr>
              <w:jc w:val="center"/>
              <w:spacing w:line="600" w:lineRule="exact"/>
              <w:rPr>
                <w:color w:val="000000"/>
                <w:sz w:val="24"/>
              </w:rPr>
            </w:pPr>
            <w:r>
              <w:rPr>
                <w:rFonts w:hint="eastAsia"/>
                <w:color w:val="000000"/>
                <w:sz w:val="24"/>
              </w:rPr>
              <w:t xml:space="preserve">背面</w:t>
            </w:r>
            <w:r/>
          </w:p>
        </w:tc>
      </w:tr>
    </w:tbl>
    <w:p>
      <w:pPr>
        <w:rPr>
          <w:rFonts w:hint="eastAsia"/>
        </w:rPr>
      </w:pPr>
      <w:r>
        <w:rPr>
          <w:rFonts w:hint="eastAsia"/>
        </w:rPr>
      </w:r>
      <w:r/>
    </w:p>
    <w:p>
      <w:pPr>
        <w:pStyle w:val="856"/>
        <w:ind w:firstLine="3390"/>
        <w:jc w:val="both"/>
        <w:keepLines/>
        <w:keepNext/>
        <w:spacing w:before="260" w:beforeAutospacing="0" w:after="260" w:afterAutospacing="0" w:line="415" w:lineRule="auto"/>
        <w:rPr>
          <w:b w:val="0"/>
          <w:bCs/>
          <w:highlight w:val="none"/>
        </w:rPr>
      </w:pPr>
      <w:r>
        <w:rPr>
          <w:rFonts w:hint="eastAsia" w:ascii="宋体" w:hAnsi="宋体" w:eastAsia="宋体" w:cs="宋体"/>
          <w:b/>
          <w:color w:val="000000"/>
          <w:highlight w:val="none"/>
        </w:rPr>
        <w:t xml:space="preserve"> </w:t>
      </w:r>
      <w:r>
        <w:rPr>
          <w:rFonts w:hint="eastAsia" w:ascii="黑体" w:hAnsi="宋体" w:eastAsia="黑体" w:cs="黑体"/>
          <w:b w:val="0"/>
          <w:bCs/>
          <w:i/>
          <w:color w:val="000000"/>
          <w:sz w:val="32"/>
          <w:szCs w:val="32"/>
          <w:highlight w:val="none"/>
          <w:u w:val="single"/>
          <w:lang w:eastAsia="zh-CN"/>
        </w:rPr>
        <w:t xml:space="preserve">九</w:t>
      </w:r>
      <w:r>
        <w:rPr>
          <w:rFonts w:hint="eastAsia" w:ascii="黑体" w:hAnsi="宋体" w:eastAsia="黑体" w:cs="黑体"/>
          <w:b w:val="0"/>
          <w:bCs/>
          <w:i/>
          <w:color w:val="000000"/>
          <w:sz w:val="32"/>
          <w:szCs w:val="32"/>
          <w:highlight w:val="none"/>
          <w:u w:val="single"/>
        </w:rPr>
        <w:t xml:space="preserve">、投标函</w:t>
      </w:r>
      <w:r/>
    </w:p>
    <w:p>
      <w:pPr>
        <w:pStyle w:val="856"/>
        <w:keepLines w:val="0"/>
        <w:keepNext w:val="0"/>
        <w:pageBreakBefore w:val="0"/>
        <w:spacing w:beforeAutospacing="0" w:afterAutospacing="0" w:line="460" w:lineRule="exact"/>
        <w:widowControl w:val="off"/>
        <w:rPr>
          <w:highlight w:val="none"/>
        </w:rPr>
      </w:pPr>
      <w:r>
        <w:rPr>
          <w:rFonts w:hint="eastAsia" w:ascii="宋体" w:hAnsi="宋体" w:eastAsia="宋体" w:cs="宋体"/>
          <w:color w:val="000000"/>
          <w:highlight w:val="none"/>
        </w:rPr>
        <w:t xml:space="preserve">致：</w:t>
      </w:r>
      <w:r/>
    </w:p>
    <w:p>
      <w:pPr>
        <w:pStyle w:val="856"/>
        <w:ind w:firstLine="480"/>
        <w:keepLines w:val="0"/>
        <w:keepNext w:val="0"/>
        <w:pageBreakBefore w:val="0"/>
        <w:spacing w:beforeAutospacing="0" w:afterAutospacing="0" w:line="460" w:lineRule="exact"/>
        <w:widowControl w:val="off"/>
        <w:rPr>
          <w:highlight w:val="none"/>
        </w:rPr>
      </w:pPr>
      <w:r>
        <w:rPr>
          <w:rFonts w:hint="eastAsia" w:ascii="宋体" w:hAnsi="宋体" w:eastAsia="宋体" w:cs="宋体"/>
          <w:color w:val="000000"/>
          <w:highlight w:val="none"/>
        </w:rPr>
        <w:t xml:space="preserve">根据贵方的</w:t>
      </w:r>
      <w:r>
        <w:rPr>
          <w:rFonts w:hint="eastAsia" w:ascii="宋体" w:hAnsi="宋体" w:eastAsia="宋体" w:cs="宋体"/>
          <w:b/>
          <w:color w:val="000000"/>
          <w:sz w:val="36"/>
          <w:szCs w:val="36"/>
          <w:highlight w:val="none"/>
          <w:u w:val="single"/>
        </w:rPr>
        <w:t xml:space="preserve">  </w:t>
      </w:r>
      <w:r>
        <w:rPr>
          <w:rFonts w:hint="eastAsia" w:ascii="宋体" w:hAnsi="宋体" w:eastAsia="宋体" w:cs="宋体"/>
          <w:b/>
          <w:color w:val="000000"/>
          <w:sz w:val="36"/>
          <w:szCs w:val="36"/>
          <w:highlight w:val="none"/>
          <w:u w:val="single"/>
          <w:lang w:val="en-US" w:eastAsia="zh-CN"/>
        </w:rPr>
        <w:t xml:space="preserve"> </w:t>
      </w:r>
      <w:r>
        <w:rPr>
          <w:rFonts w:hint="eastAsia" w:ascii="宋体" w:hAnsi="宋体" w:eastAsia="宋体" w:cs="宋体"/>
          <w:b/>
          <w:color w:val="000000"/>
          <w:sz w:val="36"/>
          <w:szCs w:val="36"/>
          <w:highlight w:val="none"/>
          <w:u w:val="single"/>
        </w:rPr>
        <w:t xml:space="preserve">  </w:t>
      </w:r>
      <w:r>
        <w:rPr>
          <w:rFonts w:hint="eastAsia" w:ascii="宋体" w:hAnsi="宋体" w:eastAsia="宋体" w:cs="宋体"/>
          <w:color w:val="000000"/>
          <w:highlight w:val="none"/>
        </w:rPr>
        <w:t xml:space="preserve">号招标文件，正式授权下述签字人_________(姓名)代表我方______________（投标人的名称），全权处理本次项目投标的有关事宜。</w:t>
      </w:r>
      <w:r/>
    </w:p>
    <w:p>
      <w:pPr>
        <w:pStyle w:val="856"/>
        <w:ind w:firstLine="480"/>
        <w:keepLines w:val="0"/>
        <w:keepNext w:val="0"/>
        <w:pageBreakBefore w:val="0"/>
        <w:spacing w:beforeAutospacing="0" w:afterAutospacing="0" w:line="460" w:lineRule="exact"/>
        <w:widowControl w:val="off"/>
        <w:rPr>
          <w:highlight w:val="none"/>
        </w:rPr>
      </w:pPr>
      <w:r>
        <w:rPr>
          <w:rFonts w:hint="eastAsia" w:ascii="宋体" w:hAnsi="宋体" w:eastAsia="宋体" w:cs="宋体"/>
          <w:color w:val="000000"/>
          <w:highlight w:val="none"/>
        </w:rPr>
        <w:t xml:space="preserve">据此函，__________签字人兹宣布同意如下：</w:t>
      </w:r>
      <w:r/>
    </w:p>
    <w:p>
      <w:pPr>
        <w:pStyle w:val="856"/>
        <w:ind w:firstLine="480"/>
        <w:keepLines w:val="0"/>
        <w:keepNext w:val="0"/>
        <w:pageBreakBefore w:val="0"/>
        <w:spacing w:beforeAutospacing="0" w:afterAutospacing="0" w:line="460" w:lineRule="exact"/>
        <w:widowControl w:val="off"/>
        <w:rPr>
          <w:highlight w:val="none"/>
        </w:rPr>
      </w:pPr>
      <w:r>
        <w:rPr>
          <w:rFonts w:hint="eastAsia" w:ascii="宋体" w:hAnsi="宋体" w:eastAsia="宋体" w:cs="宋体"/>
          <w:color w:val="000000"/>
          <w:highlight w:val="none"/>
        </w:rPr>
        <w:t xml:space="preserve">1.按招标文件规定的各项要求，向买方提供所需货物（包含与货物相关的服务）。</w:t>
      </w:r>
      <w:r/>
    </w:p>
    <w:p>
      <w:pPr>
        <w:pStyle w:val="856"/>
        <w:ind w:firstLine="480"/>
        <w:keepLines w:val="0"/>
        <w:keepNext w:val="0"/>
        <w:pageBreakBefore w:val="0"/>
        <w:spacing w:beforeAutospacing="0" w:afterAutospacing="0" w:line="460" w:lineRule="exact"/>
        <w:widowControl w:val="off"/>
        <w:rPr>
          <w:highlight w:val="none"/>
        </w:rPr>
      </w:pPr>
      <w:r>
        <w:rPr>
          <w:rFonts w:hint="eastAsia" w:ascii="宋体" w:hAnsi="宋体" w:eastAsia="宋体" w:cs="宋体"/>
          <w:color w:val="000000"/>
          <w:highlight w:val="none"/>
        </w:rPr>
        <w:t xml:space="preserve">2.我们完全理解贵方不一定将合同授予最低报价的投标人。</w:t>
      </w:r>
      <w:r/>
    </w:p>
    <w:p>
      <w:pPr>
        <w:pStyle w:val="856"/>
        <w:ind w:firstLine="480"/>
        <w:keepLines w:val="0"/>
        <w:keepNext w:val="0"/>
        <w:pageBreakBefore w:val="0"/>
        <w:spacing w:beforeAutospacing="0" w:afterAutospacing="0" w:line="460" w:lineRule="exact"/>
        <w:widowControl w:val="off"/>
        <w:rPr>
          <w:highlight w:val="none"/>
        </w:rPr>
      </w:pPr>
      <w:r>
        <w:rPr>
          <w:rFonts w:hint="eastAsia" w:ascii="宋体" w:hAnsi="宋体" w:eastAsia="宋体" w:cs="宋体"/>
          <w:color w:val="000000"/>
          <w:highlight w:val="none"/>
        </w:rPr>
        <w:t xml:space="preserve">3.我们已详细审核全部招标文件及其有效补充文件，我们知道必须放弃提出含糊不清或误解问题的权利。</w:t>
      </w:r>
      <w:r/>
    </w:p>
    <w:p>
      <w:pPr>
        <w:pStyle w:val="856"/>
        <w:ind w:firstLine="480"/>
        <w:keepLines w:val="0"/>
        <w:keepNext w:val="0"/>
        <w:pageBreakBefore w:val="0"/>
        <w:spacing w:beforeAutospacing="0" w:afterAutospacing="0" w:line="460" w:lineRule="exact"/>
        <w:widowControl w:val="off"/>
        <w:rPr>
          <w:highlight w:val="none"/>
        </w:rPr>
      </w:pPr>
      <w:r>
        <w:rPr>
          <w:rFonts w:hint="eastAsia" w:ascii="宋体" w:hAnsi="宋体" w:eastAsia="宋体" w:cs="宋体"/>
          <w:color w:val="000000"/>
          <w:highlight w:val="none"/>
        </w:rPr>
        <w:t xml:space="preserve">4.我们同意从规定的开标日期起遵循本投标文件，并在规定的投标有效期期满之前均具有约束力。</w:t>
      </w:r>
      <w:r/>
    </w:p>
    <w:p>
      <w:pPr>
        <w:pStyle w:val="856"/>
        <w:ind w:firstLine="480"/>
        <w:keepLines w:val="0"/>
        <w:keepNext w:val="0"/>
        <w:pageBreakBefore w:val="0"/>
        <w:spacing w:beforeAutospacing="0" w:afterAutospacing="0" w:line="460" w:lineRule="exact"/>
        <w:widowControl w:val="off"/>
        <w:rPr>
          <w:highlight w:val="none"/>
        </w:rPr>
      </w:pPr>
      <w:r>
        <w:rPr>
          <w:rFonts w:hint="eastAsia" w:ascii="宋体" w:hAnsi="宋体" w:eastAsia="宋体" w:cs="宋体"/>
          <w:color w:val="000000"/>
          <w:highlight w:val="none"/>
        </w:rPr>
        <w:t xml:space="preserve">5.同意向贵方提供贵方可能另外要求的与投标有关的任何证据或资料，并保证我方已提供和将要提供的文件是真实的、准确的。</w:t>
      </w:r>
      <w:r/>
    </w:p>
    <w:p>
      <w:pPr>
        <w:pStyle w:val="856"/>
        <w:ind w:firstLine="480"/>
        <w:keepLines w:val="0"/>
        <w:keepNext w:val="0"/>
        <w:pageBreakBefore w:val="0"/>
        <w:spacing w:beforeAutospacing="0" w:afterAutospacing="0" w:line="460" w:lineRule="exact"/>
        <w:widowControl w:val="off"/>
        <w:rPr>
          <w:highlight w:val="none"/>
        </w:rPr>
      </w:pPr>
      <w:r>
        <w:rPr>
          <w:rFonts w:hint="eastAsia" w:ascii="宋体" w:hAnsi="宋体" w:eastAsia="宋体" w:cs="宋体"/>
          <w:color w:val="000000"/>
          <w:highlight w:val="none"/>
        </w:rPr>
        <w:t xml:space="preserve">6.一旦我方中标,我方将根据招标文件的规定，严格履行合同的责任和义务,并保证在招标文件规定的时间完成项目，交付买方验收、使用。</w:t>
      </w:r>
      <w:r/>
    </w:p>
    <w:p>
      <w:pPr>
        <w:pStyle w:val="856"/>
        <w:ind w:firstLine="480"/>
        <w:keepLines w:val="0"/>
        <w:keepNext w:val="0"/>
        <w:pageBreakBefore w:val="0"/>
        <w:spacing w:beforeAutospacing="0" w:afterAutospacing="0" w:line="460" w:lineRule="exact"/>
        <w:widowControl w:val="off"/>
        <w:rPr>
          <w:highlight w:val="none"/>
        </w:rPr>
      </w:pPr>
      <w:r>
        <w:rPr>
          <w:rFonts w:hint="eastAsia" w:ascii="宋体" w:hAnsi="宋体" w:eastAsia="宋体" w:cs="宋体"/>
          <w:color w:val="000000"/>
          <w:highlight w:val="none"/>
        </w:rPr>
        <w:t xml:space="preserve">7.与本投标有关的正式通讯地址为：</w:t>
      </w:r>
      <w:r/>
    </w:p>
    <w:p>
      <w:pPr>
        <w:pStyle w:val="856"/>
        <w:ind w:left="420" w:firstLine="480"/>
        <w:keepLines w:val="0"/>
        <w:keepNext w:val="0"/>
        <w:pageBreakBefore w:val="0"/>
        <w:spacing w:beforeAutospacing="0" w:afterAutospacing="0" w:line="460" w:lineRule="exact"/>
        <w:widowControl w:val="off"/>
        <w:rPr>
          <w:highlight w:val="none"/>
        </w:rPr>
      </w:pPr>
      <w:r>
        <w:rPr>
          <w:rFonts w:hint="eastAsia" w:ascii="宋体" w:hAnsi="宋体" w:eastAsia="宋体" w:cs="宋体"/>
          <w:color w:val="000000"/>
          <w:highlight w:val="none"/>
        </w:rPr>
        <w:t xml:space="preserve">地    址：</w:t>
      </w:r>
      <w:r/>
    </w:p>
    <w:p>
      <w:pPr>
        <w:pStyle w:val="856"/>
        <w:ind w:left="420" w:firstLine="480"/>
        <w:keepLines w:val="0"/>
        <w:keepNext w:val="0"/>
        <w:pageBreakBefore w:val="0"/>
        <w:spacing w:beforeAutospacing="0" w:afterAutospacing="0" w:line="460" w:lineRule="exact"/>
        <w:widowControl w:val="off"/>
        <w:rPr>
          <w:highlight w:val="none"/>
        </w:rPr>
      </w:pPr>
      <w:r>
        <w:rPr>
          <w:rFonts w:hint="eastAsia" w:ascii="宋体" w:hAnsi="宋体" w:eastAsia="宋体" w:cs="宋体"/>
          <w:color w:val="000000"/>
          <w:highlight w:val="none"/>
        </w:rPr>
        <w:t xml:space="preserve">邮    编：</w:t>
      </w:r>
      <w:r/>
    </w:p>
    <w:p>
      <w:pPr>
        <w:pStyle w:val="856"/>
        <w:ind w:left="420" w:firstLine="480"/>
        <w:keepLines w:val="0"/>
        <w:keepNext w:val="0"/>
        <w:pageBreakBefore w:val="0"/>
        <w:spacing w:beforeAutospacing="0" w:afterAutospacing="0" w:line="460" w:lineRule="exact"/>
        <w:widowControl w:val="off"/>
        <w:rPr>
          <w:highlight w:val="none"/>
        </w:rPr>
      </w:pPr>
      <w:r>
        <w:rPr>
          <w:rFonts w:hint="eastAsia" w:ascii="宋体" w:hAnsi="宋体" w:eastAsia="宋体" w:cs="宋体"/>
          <w:color w:val="000000"/>
          <w:highlight w:val="none"/>
        </w:rPr>
        <w:t xml:space="preserve">电    话：</w:t>
      </w:r>
      <w:r/>
    </w:p>
    <w:p>
      <w:pPr>
        <w:pStyle w:val="856"/>
        <w:ind w:left="420" w:firstLine="480"/>
        <w:keepLines w:val="0"/>
        <w:keepNext w:val="0"/>
        <w:pageBreakBefore w:val="0"/>
        <w:spacing w:beforeAutospacing="0" w:afterAutospacing="0" w:line="460" w:lineRule="exact"/>
        <w:widowControl w:val="off"/>
        <w:rPr>
          <w:highlight w:val="none"/>
        </w:rPr>
      </w:pPr>
      <w:r>
        <w:rPr>
          <w:rFonts w:hint="eastAsia" w:ascii="宋体" w:hAnsi="宋体" w:eastAsia="宋体" w:cs="宋体"/>
          <w:color w:val="000000"/>
          <w:highlight w:val="none"/>
        </w:rPr>
        <w:t xml:space="preserve">传    真：</w:t>
      </w:r>
      <w:r/>
    </w:p>
    <w:p>
      <w:pPr>
        <w:pStyle w:val="856"/>
        <w:ind w:left="420" w:firstLine="480"/>
        <w:keepLines w:val="0"/>
        <w:keepNext w:val="0"/>
        <w:pageBreakBefore w:val="0"/>
        <w:spacing w:beforeAutospacing="0" w:afterAutospacing="0" w:line="460" w:lineRule="exact"/>
        <w:widowControl w:val="off"/>
        <w:rPr>
          <w:highlight w:val="none"/>
        </w:rPr>
      </w:pPr>
      <w:r>
        <w:rPr>
          <w:rFonts w:hint="eastAsia" w:ascii="宋体" w:hAnsi="宋体" w:eastAsia="宋体" w:cs="宋体"/>
          <w:color w:val="000000"/>
          <w:highlight w:val="none"/>
        </w:rPr>
        <w:t xml:space="preserve">投标人开户行：</w:t>
      </w:r>
      <w:r/>
    </w:p>
    <w:p>
      <w:pPr>
        <w:pStyle w:val="856"/>
        <w:ind w:left="420" w:firstLine="480"/>
        <w:keepLines w:val="0"/>
        <w:keepNext w:val="0"/>
        <w:pageBreakBefore w:val="0"/>
        <w:spacing w:beforeAutospacing="0" w:afterAutospacing="0" w:line="460" w:lineRule="exact"/>
        <w:widowControl w:val="off"/>
        <w:rPr>
          <w:highlight w:val="none"/>
        </w:rPr>
      </w:pPr>
      <w:r>
        <w:rPr>
          <w:rFonts w:hint="eastAsia" w:ascii="宋体" w:hAnsi="宋体" w:eastAsia="宋体" w:cs="宋体"/>
          <w:color w:val="000000"/>
          <w:highlight w:val="none"/>
        </w:rPr>
        <w:t xml:space="preserve">账    号： </w:t>
      </w:r>
      <w:r/>
    </w:p>
    <w:p>
      <w:pPr>
        <w:pStyle w:val="856"/>
        <w:ind w:left="420" w:firstLine="480"/>
        <w:keepLines w:val="0"/>
        <w:keepNext w:val="0"/>
        <w:pageBreakBefore w:val="0"/>
        <w:spacing w:beforeAutospacing="0" w:afterAutospacing="0" w:line="460" w:lineRule="exact"/>
        <w:widowControl w:val="off"/>
        <w:rPr>
          <w:highlight w:val="none"/>
        </w:rPr>
      </w:pPr>
      <w:r>
        <w:rPr>
          <w:rFonts w:hint="eastAsia" w:ascii="宋体" w:hAnsi="宋体" w:eastAsia="宋体" w:cs="宋体"/>
          <w:color w:val="000000"/>
          <w:highlight w:val="none"/>
        </w:rPr>
        <w:t xml:space="preserve">日    期：________年____月____日</w:t>
      </w:r>
      <w:r/>
    </w:p>
    <w:p>
      <w:pPr>
        <w:pStyle w:val="856"/>
        <w:ind w:firstLine="240"/>
        <w:jc w:val="center"/>
        <w:keepLines w:val="0"/>
        <w:keepNext w:val="0"/>
        <w:pageBreakBefore w:val="0"/>
        <w:spacing w:beforeAutospacing="0" w:afterAutospacing="0" w:line="460" w:lineRule="exact"/>
        <w:widowControl w:val="off"/>
        <w:rPr>
          <w:highlight w:val="none"/>
        </w:rPr>
      </w:pPr>
      <w:r>
        <w:rPr>
          <w:highlight w:val="none"/>
        </w:rPr>
        <w:t xml:space="preserve"> </w:t>
      </w:r>
      <w:r/>
    </w:p>
    <w:p>
      <w:pPr>
        <w:pStyle w:val="856"/>
        <w:ind w:firstLine="240"/>
        <w:jc w:val="center"/>
        <w:keepLines w:val="0"/>
        <w:keepNext w:val="0"/>
        <w:pageBreakBefore w:val="0"/>
        <w:spacing w:beforeAutospacing="0" w:afterAutospacing="0" w:line="460" w:lineRule="exact"/>
        <w:widowControl w:val="off"/>
        <w:rPr>
          <w:highlight w:val="none"/>
        </w:rPr>
      </w:pPr>
      <w:r>
        <w:rPr>
          <w:highlight w:val="none"/>
        </w:rPr>
        <w:t xml:space="preserve"> </w:t>
      </w:r>
      <w:r/>
    </w:p>
    <w:p>
      <w:pPr>
        <w:pStyle w:val="856"/>
        <w:ind w:firstLine="240"/>
        <w:jc w:val="center"/>
        <w:keepLines w:val="0"/>
        <w:keepNext w:val="0"/>
        <w:pageBreakBefore w:val="0"/>
        <w:spacing w:beforeAutospacing="0" w:afterAutospacing="0" w:line="460" w:lineRule="exact"/>
        <w:widowControl w:val="off"/>
        <w:rPr>
          <w:highlight w:val="none"/>
        </w:rPr>
      </w:pPr>
      <w:r>
        <w:rPr>
          <w:highlight w:val="none"/>
        </w:rPr>
        <w:t xml:space="preserve"> </w:t>
      </w:r>
      <w:r/>
    </w:p>
    <w:p>
      <w:pPr>
        <w:pStyle w:val="856"/>
        <w:ind w:firstLine="240"/>
        <w:jc w:val="center"/>
        <w:spacing w:beforeAutospacing="0" w:afterAutospacing="0" w:line="0" w:lineRule="atLeast"/>
        <w:rPr>
          <w:highlight w:val="none"/>
        </w:rPr>
      </w:pPr>
      <w:r>
        <w:rPr>
          <w:highlight w:val="none"/>
        </w:rPr>
        <w:t xml:space="preserve"> </w:t>
      </w:r>
      <w:r/>
    </w:p>
    <w:p>
      <w:pPr>
        <w:pStyle w:val="856"/>
        <w:ind w:firstLine="240"/>
        <w:jc w:val="center"/>
        <w:spacing w:beforeAutospacing="0" w:afterAutospacing="0" w:line="0" w:lineRule="atLeast"/>
        <w:rPr>
          <w:highlight w:val="none"/>
        </w:rPr>
      </w:pPr>
      <w:r>
        <w:rPr>
          <w:highlight w:val="none"/>
        </w:rPr>
        <w:t xml:space="preserve"> </w:t>
      </w:r>
      <w:r/>
    </w:p>
    <w:p>
      <w:pPr>
        <w:pStyle w:val="856"/>
        <w:ind w:firstLine="240"/>
        <w:jc w:val="center"/>
        <w:spacing w:beforeAutospacing="0" w:afterAutospacing="0" w:line="0" w:lineRule="atLeast"/>
        <w:rPr>
          <w:highlight w:val="none"/>
        </w:rPr>
      </w:pPr>
      <w:r>
        <w:rPr>
          <w:highlight w:val="none"/>
        </w:rPr>
        <w:t xml:space="preserve"> </w:t>
      </w:r>
      <w:r/>
    </w:p>
    <w:p>
      <w:pPr>
        <w:pStyle w:val="856"/>
        <w:ind w:firstLine="240"/>
        <w:jc w:val="center"/>
        <w:spacing w:beforeAutospacing="0" w:afterAutospacing="0" w:line="0" w:lineRule="atLeast"/>
        <w:rPr>
          <w:highlight w:val="none"/>
        </w:rPr>
      </w:pPr>
      <w:r>
        <w:rPr>
          <w:highlight w:val="none"/>
        </w:rPr>
        <w:t xml:space="preserve"> </w:t>
      </w:r>
      <w:r/>
    </w:p>
    <w:p>
      <w:pPr>
        <w:pStyle w:val="856"/>
        <w:jc w:val="center"/>
        <w:spacing w:beforeAutospacing="0" w:afterAutospacing="0" w:line="0" w:lineRule="atLeast"/>
        <w:rPr>
          <w:b w:val="0"/>
          <w:bCs/>
          <w:color w:val="auto"/>
          <w:highlight w:val="none"/>
        </w:rPr>
      </w:pPr>
      <w:r>
        <w:rPr>
          <w:rFonts w:hint="eastAsia" w:ascii="黑体" w:hAnsi="宋体" w:eastAsia="黑体" w:cs="黑体"/>
          <w:b w:val="0"/>
          <w:bCs/>
          <w:color w:val="auto"/>
          <w:sz w:val="32"/>
          <w:szCs w:val="32"/>
          <w:highlight w:val="none"/>
          <w:lang w:eastAsia="zh-CN"/>
        </w:rPr>
        <w:t xml:space="preserve">十</w:t>
      </w:r>
      <w:r>
        <w:rPr>
          <w:rFonts w:hint="eastAsia" w:ascii="黑体" w:hAnsi="宋体" w:eastAsia="黑体" w:cs="黑体"/>
          <w:b w:val="0"/>
          <w:bCs/>
          <w:color w:val="auto"/>
          <w:sz w:val="32"/>
          <w:szCs w:val="32"/>
          <w:highlight w:val="none"/>
        </w:rPr>
        <w:t xml:space="preserve">、</w:t>
      </w:r>
      <w:r>
        <w:rPr>
          <w:rFonts w:hint="eastAsia" w:ascii="黑体" w:hAnsi="宋体" w:eastAsia="黑体" w:cs="黑体"/>
          <w:b w:val="0"/>
          <w:bCs/>
          <w:color w:val="auto"/>
          <w:sz w:val="32"/>
          <w:szCs w:val="32"/>
          <w:highlight w:val="none"/>
          <w:lang w:eastAsia="zh-CN"/>
        </w:rPr>
        <w:t xml:space="preserve">中小</w:t>
      </w:r>
      <w:r>
        <w:rPr>
          <w:rFonts w:hint="eastAsia" w:ascii="黑体" w:hAnsi="宋体" w:eastAsia="黑体" w:cs="黑体"/>
          <w:b w:val="0"/>
          <w:bCs/>
          <w:color w:val="auto"/>
          <w:sz w:val="32"/>
          <w:szCs w:val="32"/>
          <w:highlight w:val="none"/>
        </w:rPr>
        <w:t xml:space="preserve">企业声明函（</w:t>
      </w:r>
      <w:r>
        <w:rPr>
          <w:rFonts w:hint="eastAsia" w:ascii="黑体" w:hAnsi="宋体" w:eastAsia="黑体" w:cs="黑体"/>
          <w:b w:val="0"/>
          <w:bCs/>
          <w:color w:val="auto"/>
          <w:sz w:val="32"/>
          <w:szCs w:val="32"/>
          <w:highlight w:val="none"/>
          <w:lang w:val="en-US" w:eastAsia="zh-CN"/>
        </w:rPr>
        <w:t xml:space="preserve">货物</w:t>
      </w:r>
      <w:r>
        <w:rPr>
          <w:rFonts w:hint="eastAsia" w:ascii="黑体" w:hAnsi="宋体" w:eastAsia="黑体" w:cs="黑体"/>
          <w:b w:val="0"/>
          <w:bCs/>
          <w:color w:val="auto"/>
          <w:sz w:val="32"/>
          <w:szCs w:val="32"/>
          <w:highlight w:val="none"/>
        </w:rPr>
        <w:t xml:space="preserve">）</w:t>
      </w:r>
      <w:r/>
    </w:p>
    <w:p>
      <w:pPr>
        <w:ind w:firstLine="480"/>
        <w:jc w:val="both"/>
        <w:spacing w:line="500" w:lineRule="exact"/>
        <w:rPr>
          <w:rFonts w:hint="eastAsia"/>
          <w:color w:val="auto"/>
          <w:sz w:val="24"/>
          <w:highlight w:val="none"/>
        </w:rPr>
      </w:pPr>
      <w:r>
        <w:rPr>
          <w:rFonts w:hint="eastAsia"/>
          <w:color w:val="auto"/>
          <w:sz w:val="24"/>
          <w:highlight w:val="none"/>
        </w:rPr>
        <w:t xml:space="preserve">本公司（联合体）郑重声明，根据《政府采购促进中小企业发展管理办法》（财库﹝2020﹞46 号）的规定，本公司（联合体）参加</w:t>
      </w:r>
      <w:r>
        <w:rPr>
          <w:rFonts w:hint="eastAsia"/>
          <w:i/>
          <w:iCs/>
          <w:color w:val="auto"/>
          <w:sz w:val="24"/>
          <w:szCs w:val="24"/>
          <w:highlight w:val="none"/>
          <w:u w:val="single"/>
        </w:rPr>
        <w:t xml:space="preserve">（单位名称）</w:t>
      </w:r>
      <w:r>
        <w:rPr>
          <w:rFonts w:hint="eastAsia"/>
          <w:color w:val="auto"/>
          <w:sz w:val="24"/>
          <w:szCs w:val="20"/>
          <w:highlight w:val="none"/>
        </w:rPr>
        <w:t xml:space="preserve">，</w:t>
      </w:r>
      <w:r>
        <w:rPr>
          <w:rFonts w:hint="eastAsia"/>
          <w:color w:val="auto"/>
          <w:sz w:val="24"/>
          <w:highlight w:val="none"/>
        </w:rPr>
        <w:t xml:space="preserve">采购编号为</w:t>
      </w:r>
      <w:r>
        <w:rPr>
          <w:rFonts w:hint="eastAsia"/>
          <w:color w:val="auto"/>
          <w:sz w:val="24"/>
          <w:highlight w:val="none"/>
          <w:u w:val="single"/>
          <w:lang w:val="en-US" w:eastAsia="zh-CN"/>
        </w:rPr>
        <w:t xml:space="preserve">     </w:t>
      </w:r>
      <w:r>
        <w:rPr>
          <w:rFonts w:hint="eastAsia"/>
          <w:color w:val="auto"/>
          <w:sz w:val="24"/>
          <w:highlight w:val="none"/>
          <w:lang w:val="en-US" w:eastAsia="zh-CN"/>
        </w:rPr>
        <w:t xml:space="preserve">的</w:t>
      </w:r>
      <w:r>
        <w:rPr>
          <w:rFonts w:hint="eastAsia"/>
          <w:i/>
          <w:iCs/>
          <w:color w:val="auto"/>
          <w:sz w:val="24"/>
          <w:highlight w:val="none"/>
          <w:u w:val="single"/>
        </w:rPr>
        <w:t xml:space="preserve">（项目名称）</w:t>
      </w:r>
      <w:r>
        <w:rPr>
          <w:rFonts w:hint="eastAsia"/>
          <w:color w:val="auto"/>
          <w:sz w:val="24"/>
          <w:highlight w:val="none"/>
        </w:rPr>
        <w:t xml:space="preserve">的采购活动，提供的</w:t>
      </w:r>
      <w:r>
        <w:rPr>
          <w:rFonts w:hint="eastAsia"/>
          <w:color w:val="auto"/>
          <w:sz w:val="24"/>
          <w:highlight w:val="none"/>
          <w:lang w:eastAsia="zh-CN"/>
        </w:rPr>
        <w:t xml:space="preserve">货物</w:t>
      </w:r>
      <w:r>
        <w:rPr>
          <w:rFonts w:hint="eastAsia"/>
          <w:color w:val="auto"/>
          <w:sz w:val="24"/>
          <w:highlight w:val="none"/>
        </w:rPr>
        <w:t xml:space="preserve">全部由符合政策要求的</w:t>
      </w:r>
      <w:r>
        <w:rPr>
          <w:rFonts w:hint="eastAsia"/>
          <w:color w:val="auto"/>
          <w:sz w:val="24"/>
          <w:highlight w:val="none"/>
          <w:lang w:eastAsia="zh-CN"/>
        </w:rPr>
        <w:t xml:space="preserve">中</w:t>
      </w:r>
      <w:r>
        <w:rPr>
          <w:rFonts w:hint="eastAsia"/>
          <w:color w:val="auto"/>
          <w:sz w:val="24"/>
          <w:highlight w:val="none"/>
        </w:rPr>
        <w:t xml:space="preserve">小</w:t>
      </w:r>
      <w:r>
        <w:rPr>
          <w:rFonts w:hint="eastAsia"/>
          <w:color w:val="auto"/>
          <w:sz w:val="24"/>
          <w:highlight w:val="none"/>
          <w:lang w:eastAsia="zh-CN"/>
        </w:rPr>
        <w:t xml:space="preserve">微</w:t>
      </w:r>
      <w:r>
        <w:rPr>
          <w:rFonts w:hint="eastAsia"/>
          <w:color w:val="auto"/>
          <w:sz w:val="24"/>
          <w:highlight w:val="none"/>
        </w:rPr>
        <w:t xml:space="preserve">企业制造。相关企业（含联合体中的</w:t>
      </w:r>
      <w:r>
        <w:rPr>
          <w:rFonts w:hint="eastAsia"/>
          <w:color w:val="auto"/>
          <w:sz w:val="24"/>
          <w:highlight w:val="none"/>
          <w:lang w:eastAsia="zh-CN"/>
        </w:rPr>
        <w:t xml:space="preserve">中</w:t>
      </w:r>
      <w:r>
        <w:rPr>
          <w:rFonts w:hint="eastAsia"/>
          <w:color w:val="auto"/>
          <w:sz w:val="24"/>
          <w:highlight w:val="none"/>
        </w:rPr>
        <w:t xml:space="preserve">小</w:t>
      </w:r>
      <w:r>
        <w:rPr>
          <w:rFonts w:hint="eastAsia"/>
          <w:color w:val="auto"/>
          <w:sz w:val="24"/>
          <w:highlight w:val="none"/>
          <w:lang w:eastAsia="zh-CN"/>
        </w:rPr>
        <w:t xml:space="preserve">微</w:t>
      </w:r>
      <w:r>
        <w:rPr>
          <w:rFonts w:hint="eastAsia"/>
          <w:color w:val="auto"/>
          <w:sz w:val="24"/>
          <w:highlight w:val="none"/>
        </w:rPr>
        <w:t xml:space="preserve">企业、签订分包意向协议的</w:t>
      </w:r>
      <w:r>
        <w:rPr>
          <w:rFonts w:hint="eastAsia"/>
          <w:color w:val="auto"/>
          <w:sz w:val="24"/>
          <w:highlight w:val="none"/>
          <w:lang w:eastAsia="zh-CN"/>
        </w:rPr>
        <w:t xml:space="preserve">中</w:t>
      </w:r>
      <w:r>
        <w:rPr>
          <w:rFonts w:hint="eastAsia"/>
          <w:color w:val="auto"/>
          <w:sz w:val="24"/>
          <w:highlight w:val="none"/>
        </w:rPr>
        <w:t xml:space="preserve">小</w:t>
      </w:r>
      <w:r>
        <w:rPr>
          <w:rFonts w:hint="eastAsia"/>
          <w:color w:val="auto"/>
          <w:sz w:val="24"/>
          <w:highlight w:val="none"/>
          <w:lang w:eastAsia="zh-CN"/>
        </w:rPr>
        <w:t xml:space="preserve">微</w:t>
      </w:r>
      <w:r>
        <w:rPr>
          <w:rFonts w:hint="eastAsia"/>
          <w:color w:val="auto"/>
          <w:sz w:val="24"/>
          <w:highlight w:val="none"/>
        </w:rPr>
        <w:t xml:space="preserve">企业）的具体情况如下：</w:t>
      </w:r>
      <w:r/>
    </w:p>
    <w:p>
      <w:pPr>
        <w:numPr>
          <w:ilvl w:val="0"/>
          <w:numId w:val="0"/>
        </w:numPr>
        <w:ind w:firstLine="480"/>
        <w:jc w:val="both"/>
        <w:spacing w:line="500" w:lineRule="exact"/>
        <w:rPr>
          <w:rFonts w:hint="eastAsia"/>
          <w:color w:val="auto"/>
          <w:sz w:val="24"/>
          <w:highlight w:val="none"/>
        </w:rPr>
      </w:pPr>
      <w:r>
        <w:rPr>
          <w:rFonts w:hint="eastAsia" w:asciiTheme="minorHAnsi" w:hAnsiTheme="minorHAnsi" w:eastAsiaTheme="minorEastAsia" w:cstheme="minorBidi"/>
          <w:color w:val="auto"/>
          <w:sz w:val="24"/>
          <w:szCs w:val="24"/>
          <w:lang w:val="en-US" w:eastAsia="zh-CN" w:bidi="ar-SA"/>
        </w:rPr>
        <w:t xml:space="preserve">1.</w:t>
      </w:r>
      <w:r>
        <w:rPr>
          <w:rFonts w:hint="eastAsia"/>
          <w:i/>
          <w:iCs/>
          <w:color w:val="auto"/>
          <w:sz w:val="24"/>
          <w:highlight w:val="none"/>
          <w:u w:val="single"/>
        </w:rPr>
        <w:t xml:space="preserve">（标的名称）</w:t>
      </w:r>
      <w:r>
        <w:rPr>
          <w:rFonts w:hint="eastAsia"/>
          <w:color w:val="auto"/>
          <w:sz w:val="24"/>
          <w:highlight w:val="none"/>
        </w:rPr>
        <w:t xml:space="preserve"> ，属于</w:t>
      </w:r>
      <w:r>
        <w:rPr>
          <w:rFonts w:hint="eastAsia"/>
          <w:i/>
          <w:iCs/>
          <w:color w:val="auto"/>
          <w:sz w:val="24"/>
          <w:highlight w:val="none"/>
          <w:u w:val="single"/>
        </w:rPr>
        <w:t xml:space="preserve">（采购文件中明确的所属行业）</w:t>
      </w:r>
      <w:r>
        <w:rPr>
          <w:rFonts w:hint="eastAsia"/>
          <w:color w:val="auto"/>
          <w:sz w:val="24"/>
          <w:highlight w:val="none"/>
        </w:rPr>
        <w:t xml:space="preserve">；制造商为</w:t>
      </w:r>
      <w:r>
        <w:rPr>
          <w:rFonts w:hint="eastAsia"/>
          <w:i/>
          <w:iCs/>
          <w:color w:val="auto"/>
          <w:sz w:val="24"/>
          <w:highlight w:val="none"/>
          <w:u w:val="single"/>
        </w:rPr>
        <w:t xml:space="preserve">（企业名称）</w:t>
      </w:r>
      <w:r>
        <w:rPr>
          <w:rFonts w:hint="eastAsia"/>
          <w:color w:val="auto"/>
          <w:sz w:val="24"/>
          <w:highlight w:val="none"/>
        </w:rPr>
        <w:t xml:space="preserve">，从业人员</w:t>
      </w:r>
      <w:r>
        <w:rPr>
          <w:rFonts w:hint="eastAsia"/>
          <w:color w:val="auto"/>
          <w:sz w:val="24"/>
          <w:highlight w:val="none"/>
          <w:u w:val="single"/>
          <w:lang w:val="en-US" w:eastAsia="zh-CN"/>
        </w:rPr>
        <w:t xml:space="preserve">    </w:t>
      </w:r>
      <w:r>
        <w:rPr>
          <w:rFonts w:hint="eastAsia"/>
          <w:color w:val="auto"/>
          <w:sz w:val="24"/>
          <w:highlight w:val="none"/>
        </w:rPr>
        <w:t xml:space="preserve">人，营业收入为</w:t>
      </w:r>
      <w:r>
        <w:rPr>
          <w:rFonts w:hint="eastAsia"/>
          <w:color w:val="auto"/>
          <w:sz w:val="24"/>
          <w:highlight w:val="none"/>
          <w:u w:val="single"/>
          <w:lang w:val="en-US" w:eastAsia="zh-CN"/>
        </w:rPr>
        <w:t xml:space="preserve">    </w:t>
      </w:r>
      <w:r>
        <w:rPr>
          <w:rFonts w:hint="eastAsia"/>
          <w:color w:val="auto"/>
          <w:sz w:val="24"/>
          <w:highlight w:val="none"/>
        </w:rPr>
        <w:t xml:space="preserve">万元，资产总额为</w:t>
      </w:r>
      <w:r>
        <w:rPr>
          <w:rFonts w:hint="eastAsia"/>
          <w:color w:val="auto"/>
          <w:sz w:val="24"/>
          <w:highlight w:val="none"/>
          <w:u w:val="single"/>
          <w:lang w:val="en-US" w:eastAsia="zh-CN"/>
        </w:rPr>
        <w:t xml:space="preserve">    </w:t>
      </w:r>
      <w:r>
        <w:rPr>
          <w:rFonts w:hint="eastAsia"/>
          <w:color w:val="auto"/>
          <w:sz w:val="24"/>
          <w:highlight w:val="none"/>
        </w:rPr>
        <w:t xml:space="preserve">万元，属于（</w:t>
      </w:r>
      <w:r>
        <w:rPr>
          <w:rFonts w:hint="eastAsia"/>
          <w:i/>
          <w:iCs/>
          <w:color w:val="auto"/>
          <w:sz w:val="24"/>
          <w:highlight w:val="none"/>
          <w:u w:val="single"/>
          <w:lang w:eastAsia="zh-CN"/>
        </w:rPr>
        <w:t xml:space="preserve">中</w:t>
      </w:r>
      <w:r>
        <w:rPr>
          <w:rFonts w:hint="eastAsia"/>
          <w:i/>
          <w:iCs/>
          <w:color w:val="auto"/>
          <w:sz w:val="24"/>
          <w:highlight w:val="none"/>
          <w:u w:val="single"/>
        </w:rPr>
        <w:t xml:space="preserve">型企业、小型企业、微型企业</w:t>
      </w:r>
      <w:r>
        <w:rPr>
          <w:rFonts w:hint="eastAsia"/>
          <w:color w:val="auto"/>
          <w:sz w:val="24"/>
          <w:highlight w:val="none"/>
        </w:rPr>
        <w:t xml:space="preserve">）；</w:t>
      </w:r>
      <w:r/>
    </w:p>
    <w:p>
      <w:pPr>
        <w:numPr>
          <w:ilvl w:val="0"/>
          <w:numId w:val="0"/>
        </w:numPr>
        <w:ind w:firstLine="480"/>
        <w:jc w:val="both"/>
        <w:spacing w:line="500" w:lineRule="exact"/>
        <w:rPr>
          <w:rFonts w:hint="eastAsia"/>
          <w:color w:val="auto"/>
          <w:sz w:val="24"/>
          <w:highlight w:val="none"/>
        </w:rPr>
      </w:pPr>
      <w:r>
        <w:rPr>
          <w:rFonts w:hint="eastAsia"/>
          <w:i w:val="0"/>
          <w:iCs w:val="0"/>
          <w:color w:val="auto"/>
          <w:sz w:val="24"/>
          <w:highlight w:val="none"/>
          <w:u w:val="none"/>
          <w:lang w:val="en-US" w:eastAsia="zh-CN"/>
        </w:rPr>
        <w:t xml:space="preserve">2.</w:t>
      </w:r>
      <w:r>
        <w:rPr>
          <w:rFonts w:hint="eastAsia"/>
          <w:i/>
          <w:iCs/>
          <w:color w:val="auto"/>
          <w:sz w:val="24"/>
          <w:highlight w:val="none"/>
          <w:u w:val="single"/>
        </w:rPr>
        <w:t xml:space="preserve">（标的名称）</w:t>
      </w:r>
      <w:r>
        <w:rPr>
          <w:rFonts w:hint="eastAsia"/>
          <w:color w:val="auto"/>
          <w:sz w:val="24"/>
          <w:highlight w:val="none"/>
        </w:rPr>
        <w:t xml:space="preserve"> ，属于</w:t>
      </w:r>
      <w:r>
        <w:rPr>
          <w:rFonts w:hint="eastAsia"/>
          <w:i/>
          <w:iCs/>
          <w:color w:val="auto"/>
          <w:sz w:val="24"/>
          <w:highlight w:val="none"/>
          <w:u w:val="single"/>
        </w:rPr>
        <w:t xml:space="preserve">（采购文件中明确的所属行业）</w:t>
      </w:r>
      <w:r>
        <w:rPr>
          <w:rFonts w:hint="eastAsia"/>
          <w:color w:val="auto"/>
          <w:sz w:val="24"/>
          <w:highlight w:val="none"/>
        </w:rPr>
        <w:t xml:space="preserve">；制造商为</w:t>
      </w:r>
      <w:r>
        <w:rPr>
          <w:rFonts w:hint="eastAsia"/>
          <w:i/>
          <w:iCs/>
          <w:color w:val="auto"/>
          <w:sz w:val="24"/>
          <w:highlight w:val="none"/>
          <w:u w:val="single"/>
        </w:rPr>
        <w:t xml:space="preserve">（企业名称）</w:t>
      </w:r>
      <w:r>
        <w:rPr>
          <w:rFonts w:hint="eastAsia"/>
          <w:color w:val="auto"/>
          <w:sz w:val="24"/>
          <w:highlight w:val="none"/>
        </w:rPr>
        <w:t xml:space="preserve">，从业人员</w:t>
      </w:r>
      <w:r>
        <w:rPr>
          <w:rFonts w:hint="eastAsia"/>
          <w:color w:val="auto"/>
          <w:sz w:val="24"/>
          <w:highlight w:val="none"/>
          <w:u w:val="single"/>
          <w:lang w:val="en-US" w:eastAsia="zh-CN"/>
        </w:rPr>
        <w:t xml:space="preserve">    </w:t>
      </w:r>
      <w:r>
        <w:rPr>
          <w:rFonts w:hint="eastAsia"/>
          <w:color w:val="auto"/>
          <w:sz w:val="24"/>
          <w:highlight w:val="none"/>
        </w:rPr>
        <w:t xml:space="preserve">人，营业收入为</w:t>
      </w:r>
      <w:r>
        <w:rPr>
          <w:rFonts w:hint="eastAsia"/>
          <w:color w:val="auto"/>
          <w:sz w:val="24"/>
          <w:highlight w:val="none"/>
          <w:u w:val="single"/>
          <w:lang w:val="en-US" w:eastAsia="zh-CN"/>
        </w:rPr>
        <w:t xml:space="preserve">    </w:t>
      </w:r>
      <w:r>
        <w:rPr>
          <w:rFonts w:hint="eastAsia"/>
          <w:color w:val="auto"/>
          <w:sz w:val="24"/>
          <w:highlight w:val="none"/>
        </w:rPr>
        <w:t xml:space="preserve">万元，资产总额为</w:t>
      </w:r>
      <w:r>
        <w:rPr>
          <w:rFonts w:hint="eastAsia"/>
          <w:color w:val="auto"/>
          <w:sz w:val="24"/>
          <w:highlight w:val="none"/>
          <w:u w:val="single"/>
          <w:lang w:val="en-US" w:eastAsia="zh-CN"/>
        </w:rPr>
        <w:t xml:space="preserve">    </w:t>
      </w:r>
      <w:r>
        <w:rPr>
          <w:rFonts w:hint="eastAsia"/>
          <w:color w:val="auto"/>
          <w:sz w:val="24"/>
          <w:highlight w:val="none"/>
        </w:rPr>
        <w:t xml:space="preserve">万元，属于（</w:t>
      </w:r>
      <w:r>
        <w:rPr>
          <w:rFonts w:hint="eastAsia"/>
          <w:i/>
          <w:iCs/>
          <w:color w:val="auto"/>
          <w:sz w:val="24"/>
          <w:highlight w:val="none"/>
          <w:u w:val="single"/>
          <w:lang w:eastAsia="zh-CN"/>
        </w:rPr>
        <w:t xml:space="preserve">中</w:t>
      </w:r>
      <w:r>
        <w:rPr>
          <w:rFonts w:hint="eastAsia"/>
          <w:i/>
          <w:iCs/>
          <w:color w:val="auto"/>
          <w:sz w:val="24"/>
          <w:highlight w:val="none"/>
          <w:u w:val="single"/>
        </w:rPr>
        <w:t xml:space="preserve">型企业、小型企业、微型企业</w:t>
      </w:r>
      <w:r>
        <w:rPr>
          <w:rFonts w:hint="eastAsia"/>
          <w:color w:val="auto"/>
          <w:sz w:val="24"/>
          <w:highlight w:val="none"/>
        </w:rPr>
        <w:t xml:space="preserve">）；</w:t>
      </w:r>
      <w:r/>
    </w:p>
    <w:p>
      <w:pPr>
        <w:numPr>
          <w:ilvl w:val="0"/>
          <w:numId w:val="0"/>
        </w:numPr>
        <w:ind w:firstLine="480"/>
        <w:jc w:val="both"/>
        <w:spacing w:line="500" w:lineRule="exact"/>
        <w:rPr>
          <w:rFonts w:hint="eastAsia"/>
          <w:color w:val="auto"/>
          <w:sz w:val="24"/>
          <w:highlight w:val="none"/>
        </w:rPr>
      </w:pPr>
      <w:r>
        <w:rPr>
          <w:rFonts w:hint="eastAsia"/>
          <w:color w:val="auto"/>
          <w:sz w:val="24"/>
          <w:highlight w:val="none"/>
        </w:rPr>
        <w:t xml:space="preserve">……</w:t>
      </w:r>
      <w:r/>
    </w:p>
    <w:p>
      <w:pPr>
        <w:numPr>
          <w:ilvl w:val="0"/>
          <w:numId w:val="0"/>
        </w:numPr>
        <w:ind w:firstLine="480"/>
        <w:jc w:val="both"/>
        <w:spacing w:line="500" w:lineRule="exact"/>
        <w:rPr>
          <w:rFonts w:hint="eastAsia"/>
          <w:color w:val="auto"/>
          <w:sz w:val="24"/>
          <w:highlight w:val="none"/>
        </w:rPr>
      </w:pPr>
      <w:r>
        <w:rPr>
          <w:rFonts w:hint="eastAsia"/>
          <w:color w:val="auto"/>
          <w:sz w:val="24"/>
          <w:highlight w:val="none"/>
        </w:rPr>
        <w:t xml:space="preserve">以上企业，不属于大企业的分支机构，不存在控股股东为大企业的情形，也不存在与大企业的负责人为同一人的情形。</w:t>
      </w:r>
      <w:r/>
    </w:p>
    <w:p>
      <w:pPr>
        <w:numPr>
          <w:ilvl w:val="0"/>
          <w:numId w:val="0"/>
        </w:numPr>
        <w:ind w:firstLine="480"/>
        <w:jc w:val="both"/>
        <w:spacing w:line="500" w:lineRule="exact"/>
        <w:rPr>
          <w:rFonts w:hint="eastAsia"/>
          <w:color w:val="auto"/>
          <w:sz w:val="24"/>
          <w:highlight w:val="none"/>
        </w:rPr>
      </w:pPr>
      <w:r>
        <w:rPr>
          <w:rFonts w:hint="eastAsia"/>
          <w:color w:val="auto"/>
          <w:sz w:val="24"/>
          <w:highlight w:val="none"/>
        </w:rPr>
        <w:t xml:space="preserve">本企业对上述声明内容的真实性负责。如有虚假，将依法承担相应责任。</w:t>
      </w:r>
      <w:r/>
    </w:p>
    <w:p>
      <w:pPr>
        <w:pStyle w:val="856"/>
        <w:ind w:right="720"/>
        <w:jc w:val="both"/>
        <w:spacing w:beforeAutospacing="0" w:afterAutospacing="0" w:line="0" w:lineRule="atLeast"/>
        <w:rPr>
          <w:color w:val="auto"/>
          <w:highlight w:val="none"/>
        </w:rPr>
      </w:pPr>
      <w:r>
        <w:rPr>
          <w:color w:val="auto"/>
          <w:highlight w:val="none"/>
        </w:rPr>
        <w:t xml:space="preserve"> </w:t>
      </w:r>
      <w:r/>
    </w:p>
    <w:p>
      <w:pPr>
        <w:pStyle w:val="856"/>
        <w:ind w:right="180" w:firstLine="360"/>
        <w:jc w:val="right"/>
        <w:spacing w:beforeAutospacing="0" w:afterAutospacing="0" w:line="0" w:lineRule="atLeast"/>
        <w:rPr>
          <w:rFonts w:hint="eastAsia" w:ascii="宋体" w:hAnsi="宋体" w:eastAsia="宋体" w:cs="宋体"/>
          <w:color w:val="auto"/>
          <w:highlight w:val="none"/>
        </w:rPr>
      </w:pPr>
      <w:r>
        <w:rPr>
          <w:rFonts w:hint="eastAsia" w:ascii="宋体" w:hAnsi="宋体" w:eastAsia="宋体" w:cs="宋体"/>
          <w:color w:val="auto"/>
          <w:highlight w:val="none"/>
        </w:rPr>
      </w:r>
      <w:r/>
    </w:p>
    <w:p>
      <w:pPr>
        <w:pStyle w:val="856"/>
        <w:ind w:right="180" w:firstLine="360"/>
        <w:jc w:val="right"/>
        <w:spacing w:beforeAutospacing="0" w:afterAutospacing="0" w:line="0" w:lineRule="atLeast"/>
        <w:rPr>
          <w:rFonts w:hint="eastAsia" w:ascii="宋体" w:hAnsi="宋体" w:eastAsia="宋体" w:cs="宋体"/>
          <w:color w:val="auto"/>
          <w:highlight w:val="none"/>
        </w:rPr>
      </w:pPr>
      <w:r>
        <w:rPr>
          <w:rFonts w:hint="eastAsia" w:ascii="宋体" w:hAnsi="宋体" w:eastAsia="宋体" w:cs="宋体"/>
          <w:color w:val="auto"/>
          <w:highlight w:val="none"/>
        </w:rPr>
      </w:r>
      <w:r/>
    </w:p>
    <w:p>
      <w:pPr>
        <w:pStyle w:val="856"/>
        <w:ind w:right="180" w:firstLine="360"/>
        <w:jc w:val="right"/>
        <w:spacing w:beforeAutospacing="0" w:afterAutospacing="0" w:line="0" w:lineRule="atLeast"/>
        <w:rPr>
          <w:rFonts w:hint="eastAsia" w:ascii="宋体" w:hAnsi="宋体" w:eastAsia="宋体" w:cs="宋体"/>
          <w:color w:val="auto"/>
          <w:highlight w:val="none"/>
        </w:rPr>
      </w:pPr>
      <w:r>
        <w:rPr>
          <w:rFonts w:hint="eastAsia" w:ascii="宋体" w:hAnsi="宋体" w:eastAsia="宋体" w:cs="宋体"/>
          <w:color w:val="auto"/>
          <w:highlight w:val="none"/>
        </w:rPr>
      </w:r>
      <w:r/>
    </w:p>
    <w:p>
      <w:pPr>
        <w:pStyle w:val="856"/>
        <w:ind w:right="180" w:firstLine="360"/>
        <w:jc w:val="right"/>
        <w:spacing w:beforeAutospacing="0" w:afterAutospacing="0" w:line="0" w:lineRule="atLeast"/>
        <w:rPr>
          <w:color w:val="auto"/>
          <w:highlight w:val="none"/>
        </w:rPr>
      </w:pPr>
      <w:r>
        <w:rPr>
          <w:rFonts w:hint="eastAsia" w:ascii="宋体" w:hAnsi="宋体" w:eastAsia="宋体" w:cs="宋体"/>
          <w:color w:val="auto"/>
          <w:highlight w:val="none"/>
        </w:rPr>
        <w:t xml:space="preserve">企业名称（加盖CA电子公章）：</w:t>
      </w:r>
      <w:r/>
    </w:p>
    <w:p>
      <w:pPr>
        <w:pStyle w:val="856"/>
        <w:ind w:right="480" w:firstLine="5400"/>
        <w:jc w:val="both"/>
        <w:spacing w:beforeAutospacing="0" w:afterAutospacing="0" w:line="0" w:lineRule="atLeast"/>
        <w:rPr>
          <w:color w:val="auto"/>
          <w:highlight w:val="none"/>
        </w:rPr>
      </w:pPr>
      <w:r>
        <w:rPr>
          <w:rFonts w:hint="eastAsia" w:ascii="宋体" w:hAnsi="宋体" w:eastAsia="宋体" w:cs="宋体"/>
          <w:color w:val="auto"/>
          <w:highlight w:val="none"/>
        </w:rPr>
        <w:t xml:space="preserve">日  期：</w:t>
      </w:r>
      <w:r/>
    </w:p>
    <w:p>
      <w:pPr>
        <w:pStyle w:val="856"/>
        <w:ind w:firstLine="240"/>
        <w:jc w:val="both"/>
        <w:spacing w:beforeAutospacing="0" w:afterAutospacing="0" w:line="0" w:lineRule="atLeast"/>
        <w:rPr>
          <w:color w:val="auto"/>
          <w:highlight w:val="none"/>
        </w:rPr>
      </w:pPr>
      <w:r>
        <w:rPr>
          <w:color w:val="auto"/>
          <w:highlight w:val="none"/>
        </w:rPr>
        <w:t xml:space="preserve"> </w:t>
      </w:r>
      <w:r/>
    </w:p>
    <w:p>
      <w:pPr>
        <w:pStyle w:val="856"/>
        <w:ind w:firstLine="480"/>
        <w:jc w:val="both"/>
        <w:spacing w:beforeAutospacing="0" w:afterAutospacing="0" w:line="0" w:lineRule="atLeast"/>
        <w:rPr>
          <w:rFonts w:hint="eastAsia" w:ascii="宋体" w:hAnsi="宋体" w:eastAsia="宋体" w:cs="宋体"/>
          <w:color w:val="auto"/>
          <w:highlight w:val="none"/>
        </w:rPr>
      </w:pPr>
      <w:r>
        <w:rPr>
          <w:rFonts w:hint="eastAsia" w:ascii="宋体" w:hAnsi="宋体" w:eastAsia="宋体" w:cs="宋体"/>
          <w:color w:val="auto"/>
          <w:highlight w:val="none"/>
        </w:rPr>
      </w:r>
      <w:r/>
    </w:p>
    <w:p>
      <w:pPr>
        <w:pStyle w:val="856"/>
        <w:ind w:firstLine="480"/>
        <w:jc w:val="both"/>
        <w:spacing w:beforeAutospacing="0" w:afterAutospacing="0" w:line="0" w:lineRule="atLeast"/>
        <w:rPr>
          <w:rFonts w:hint="eastAsia" w:ascii="宋体" w:hAnsi="宋体" w:eastAsia="宋体" w:cs="宋体"/>
          <w:color w:val="auto"/>
          <w:highlight w:val="none"/>
        </w:rPr>
      </w:pPr>
      <w:r>
        <w:rPr>
          <w:rFonts w:hint="eastAsia" w:ascii="宋体" w:hAnsi="宋体" w:eastAsia="宋体" w:cs="宋体"/>
          <w:color w:val="auto"/>
          <w:highlight w:val="none"/>
        </w:rPr>
      </w:r>
      <w:r/>
    </w:p>
    <w:p>
      <w:pPr>
        <w:pStyle w:val="856"/>
        <w:ind w:firstLine="480"/>
        <w:jc w:val="both"/>
        <w:spacing w:beforeAutospacing="0" w:afterAutospacing="0" w:line="0" w:lineRule="atLeast"/>
        <w:rPr>
          <w:color w:val="auto"/>
          <w:highlight w:val="none"/>
        </w:rPr>
      </w:pPr>
      <w:r>
        <w:rPr>
          <w:rFonts w:hint="eastAsia" w:ascii="宋体" w:hAnsi="宋体" w:eastAsia="宋体" w:cs="宋体"/>
          <w:color w:val="auto"/>
          <w:highlight w:val="none"/>
        </w:rPr>
        <w:t xml:space="preserve">备注1：从业人员、营业收入、资产总额填报上一年度数据，无上一年度数据的新成立企业可不填报。</w:t>
      </w:r>
      <w:r/>
    </w:p>
    <w:p>
      <w:pPr>
        <w:pStyle w:val="856"/>
        <w:ind w:firstLine="480"/>
        <w:jc w:val="both"/>
        <w:spacing w:beforeAutospacing="0" w:afterAutospacing="0" w:line="0" w:lineRule="atLeast"/>
        <w:rPr>
          <w:color w:val="auto"/>
          <w:highlight w:val="none"/>
        </w:rPr>
      </w:pPr>
      <w:r>
        <w:rPr>
          <w:rFonts w:hint="eastAsia" w:ascii="宋体" w:hAnsi="宋体" w:eastAsia="宋体" w:cs="宋体"/>
          <w:color w:val="auto"/>
          <w:highlight w:val="none"/>
        </w:rPr>
        <w:t xml:space="preserve">备注2：</w:t>
      </w:r>
      <w:r>
        <w:rPr>
          <w:rFonts w:hint="eastAsia" w:ascii="宋体" w:hAnsi="宋体" w:eastAsia="宋体" w:cs="宋体"/>
          <w:color w:val="000000"/>
          <w:highlight w:val="none"/>
        </w:rPr>
        <w:t xml:space="preserve">供应商如不提供此声明函，</w:t>
      </w:r>
      <w:r>
        <w:rPr>
          <w:rFonts w:hint="eastAsia" w:ascii="宋体" w:hAnsi="宋体" w:eastAsia="宋体" w:cs="宋体"/>
          <w:color w:val="auto"/>
          <w:highlight w:val="none"/>
          <w:lang w:eastAsia="zh-CN"/>
        </w:rPr>
        <w:t xml:space="preserve">则资格审查不通过</w:t>
      </w:r>
      <w:r>
        <w:rPr>
          <w:rFonts w:hint="eastAsia" w:ascii="宋体" w:hAnsi="宋体" w:eastAsia="宋体" w:cs="宋体"/>
          <w:color w:val="000000"/>
          <w:highlight w:val="none"/>
        </w:rPr>
        <w:t xml:space="preserve">。</w:t>
      </w:r>
      <w:r/>
    </w:p>
    <w:p>
      <w:pPr>
        <w:pStyle w:val="856"/>
        <w:jc w:val="center"/>
        <w:keepLines w:val="0"/>
        <w:keepNext w:val="0"/>
        <w:pageBreakBefore w:val="0"/>
        <w:spacing w:before="157" w:beforeAutospacing="0" w:after="157" w:afterAutospacing="0" w:line="0" w:lineRule="atLeast"/>
        <w:widowControl w:val="off"/>
        <w:rPr>
          <w:b w:val="0"/>
          <w:bCs/>
          <w:highlight w:val="none"/>
        </w:rPr>
      </w:pPr>
      <w:r>
        <w:rPr>
          <w:rFonts w:hint="eastAsia" w:ascii="黑体" w:hAnsi="宋体" w:eastAsia="黑体" w:cs="黑体"/>
          <w:b/>
          <w:color w:val="auto"/>
          <w:sz w:val="32"/>
          <w:szCs w:val="32"/>
          <w:highlight w:val="none"/>
        </w:rPr>
        <w:br w:type="page" w:clear="all"/>
      </w:r>
      <w:r>
        <w:rPr>
          <w:rFonts w:hint="eastAsia" w:ascii="黑体" w:hAnsi="宋体" w:eastAsia="黑体" w:cs="黑体"/>
          <w:b/>
          <w:color w:val="000000"/>
          <w:sz w:val="32"/>
          <w:szCs w:val="32"/>
          <w:highlight w:val="none"/>
        </w:rPr>
        <w:t xml:space="preserve"> </w:t>
      </w:r>
      <w:r>
        <w:rPr>
          <w:rFonts w:hint="eastAsia" w:ascii="黑体" w:hAnsi="宋体" w:eastAsia="黑体" w:cs="黑体"/>
          <w:b w:val="0"/>
          <w:bCs/>
          <w:color w:val="000000"/>
          <w:sz w:val="32"/>
          <w:szCs w:val="32"/>
          <w:highlight w:val="none"/>
        </w:rPr>
        <w:t xml:space="preserve">十</w:t>
      </w:r>
      <w:r>
        <w:rPr>
          <w:rFonts w:hint="eastAsia" w:ascii="黑体" w:hAnsi="宋体" w:eastAsia="黑体" w:cs="黑体"/>
          <w:b w:val="0"/>
          <w:bCs/>
          <w:color w:val="000000"/>
          <w:sz w:val="32"/>
          <w:szCs w:val="32"/>
          <w:highlight w:val="none"/>
          <w:lang w:eastAsia="zh-CN"/>
        </w:rPr>
        <w:t xml:space="preserve">一</w:t>
      </w:r>
      <w:r>
        <w:rPr>
          <w:rFonts w:hint="eastAsia" w:ascii="黑体" w:hAnsi="宋体" w:eastAsia="黑体" w:cs="黑体"/>
          <w:b w:val="0"/>
          <w:bCs/>
          <w:color w:val="000000"/>
          <w:sz w:val="32"/>
          <w:szCs w:val="32"/>
          <w:highlight w:val="none"/>
        </w:rPr>
        <w:t xml:space="preserve">、残疾人福利性单位声明函</w:t>
      </w:r>
      <w:r/>
    </w:p>
    <w:p>
      <w:pPr>
        <w:pStyle w:val="856"/>
        <w:ind w:firstLine="480"/>
        <w:jc w:val="both"/>
        <w:keepLines w:val="0"/>
        <w:keepNext w:val="0"/>
        <w:pageBreakBefore w:val="0"/>
        <w:spacing w:beforeAutospacing="0" w:afterAutospacing="0" w:line="400" w:lineRule="exact"/>
        <w:widowControl w:val="off"/>
        <w:rPr>
          <w:highlight w:val="none"/>
        </w:rPr>
      </w:pPr>
      <w:r>
        <w:rPr>
          <w:rFonts w:hint="eastAsia" w:ascii="宋体" w:hAnsi="宋体" w:eastAsia="宋体" w:cs="宋体"/>
          <w:color w:val="000000"/>
          <w:highlight w:val="none"/>
        </w:rPr>
        <w:t xml:space="preserve">本单位郑重声明，根据《财政部 民政部 中国残疾人联合会关于促进残疾人就业政府采购政策的通知》（财库〔2017〕 141号）的规定，本单位为符合条件的残疾人福利性单位，且本单位参加______单位的采购文件编号为______的</w:t>
      </w:r>
      <w:r>
        <w:rPr>
          <w:rFonts w:hint="eastAsia" w:ascii="宋体" w:hAnsi="宋体" w:eastAsia="宋体" w:cs="宋体"/>
          <w:color w:val="000000"/>
          <w:highlight w:val="none"/>
          <w:u w:val="single"/>
        </w:rPr>
        <w:t xml:space="preserve">       </w:t>
      </w:r>
      <w:r>
        <w:rPr>
          <w:rFonts w:hint="eastAsia" w:ascii="宋体" w:hAnsi="宋体" w:eastAsia="宋体" w:cs="宋体"/>
          <w:color w:val="000000"/>
          <w:highlight w:val="none"/>
        </w:rPr>
        <w:t xml:space="preserve">项目采购活动提供本单位制造的货物，或者提供其他残疾人福利性单位制造的货物（不包括使用非残疾人福利性单位注册商标的货物）。</w:t>
      </w:r>
      <w:r/>
    </w:p>
    <w:p>
      <w:pPr>
        <w:pStyle w:val="856"/>
        <w:ind w:firstLine="480"/>
        <w:jc w:val="both"/>
        <w:keepLines w:val="0"/>
        <w:keepNext w:val="0"/>
        <w:pageBreakBefore w:val="0"/>
        <w:spacing w:beforeAutospacing="0" w:afterAutospacing="0" w:line="400" w:lineRule="exact"/>
        <w:widowControl w:val="off"/>
        <w:rPr>
          <w:highlight w:val="none"/>
        </w:rPr>
      </w:pPr>
      <w:r>
        <w:rPr>
          <w:rFonts w:hint="eastAsia" w:ascii="宋体" w:hAnsi="宋体" w:eastAsia="宋体" w:cs="宋体"/>
          <w:color w:val="000000"/>
          <w:highlight w:val="none"/>
        </w:rPr>
        <w:t xml:space="preserve">本单位对上述声明的真实性负责。如有虚假，将依法承担相应责任。</w:t>
      </w:r>
      <w:r/>
    </w:p>
    <w:p>
      <w:pPr>
        <w:pStyle w:val="856"/>
        <w:ind w:firstLine="480"/>
        <w:jc w:val="both"/>
        <w:keepLines w:val="0"/>
        <w:keepNext w:val="0"/>
        <w:pageBreakBefore w:val="0"/>
        <w:spacing w:beforeAutospacing="0" w:afterAutospacing="0" w:line="400" w:lineRule="exact"/>
        <w:widowControl w:val="off"/>
        <w:rPr>
          <w:highlight w:val="none"/>
        </w:rPr>
      </w:pPr>
      <w:r>
        <w:rPr>
          <w:highlight w:val="none"/>
        </w:rPr>
        <w:t xml:space="preserve"> </w:t>
      </w:r>
      <w:r/>
    </w:p>
    <w:p>
      <w:pPr>
        <w:pStyle w:val="856"/>
        <w:ind w:firstLine="480"/>
        <w:jc w:val="both"/>
        <w:keepLines w:val="0"/>
        <w:keepNext w:val="0"/>
        <w:pageBreakBefore w:val="0"/>
        <w:spacing w:beforeAutospacing="0" w:afterAutospacing="0" w:line="400" w:lineRule="exact"/>
        <w:widowControl w:val="off"/>
        <w:rPr>
          <w:rFonts w:hint="eastAsia" w:eastAsia="宋体"/>
          <w:highlight w:val="none"/>
          <w:lang w:eastAsia="zh-CN"/>
        </w:rPr>
      </w:pPr>
      <w:r>
        <w:rPr>
          <w:rFonts w:hint="eastAsia" w:ascii="宋体" w:hAnsi="宋体" w:eastAsia="宋体" w:cs="宋体"/>
          <w:color w:val="000000"/>
          <w:highlight w:val="none"/>
        </w:rPr>
        <w:t xml:space="preserve">备注：1、供应商如不提供此声明函，</w:t>
      </w:r>
      <w:r>
        <w:rPr>
          <w:rFonts w:hint="eastAsia" w:ascii="宋体" w:hAnsi="宋体" w:eastAsia="宋体" w:cs="宋体"/>
          <w:color w:val="auto"/>
          <w:highlight w:val="none"/>
          <w:lang w:eastAsia="zh-CN"/>
        </w:rPr>
        <w:t xml:space="preserve">则资格审查不通过</w:t>
      </w:r>
      <w:r>
        <w:rPr>
          <w:rFonts w:hint="eastAsia" w:ascii="宋体" w:hAnsi="宋体" w:eastAsia="宋体" w:cs="宋体"/>
          <w:color w:val="000000"/>
          <w:highlight w:val="none"/>
        </w:rPr>
        <w:t xml:space="preserve">。2、中标供应商为残疾人福利单位的，此声明函将随中标结果同时公告，接受社会监督</w:t>
      </w:r>
      <w:r>
        <w:rPr>
          <w:rFonts w:hint="eastAsia" w:ascii="宋体" w:hAnsi="宋体" w:eastAsia="宋体" w:cs="宋体"/>
          <w:color w:val="000000"/>
          <w:highlight w:val="none"/>
          <w:lang w:eastAsia="zh-CN"/>
        </w:rPr>
        <w:t xml:space="preserve">。</w:t>
      </w:r>
      <w:r/>
    </w:p>
    <w:p>
      <w:pPr>
        <w:pStyle w:val="856"/>
        <w:ind w:firstLine="624"/>
        <w:jc w:val="both"/>
        <w:keepLines w:val="0"/>
        <w:keepNext w:val="0"/>
        <w:pageBreakBefore w:val="0"/>
        <w:spacing w:beforeAutospacing="0" w:afterAutospacing="0" w:line="400" w:lineRule="exact"/>
        <w:widowControl w:val="off"/>
        <w:rPr>
          <w:highlight w:val="none"/>
        </w:rPr>
      </w:pPr>
      <w:r>
        <w:rPr>
          <w:highlight w:val="none"/>
        </w:rPr>
        <w:t xml:space="preserve"> </w:t>
      </w:r>
      <w:r/>
    </w:p>
    <w:p>
      <w:pPr>
        <w:pStyle w:val="856"/>
        <w:ind w:right="1560" w:firstLine="624"/>
        <w:jc w:val="center"/>
        <w:keepLines w:val="0"/>
        <w:keepNext w:val="0"/>
        <w:pageBreakBefore w:val="0"/>
        <w:spacing w:beforeAutospacing="0" w:afterAutospacing="0" w:line="400" w:lineRule="exact"/>
        <w:widowControl w:val="off"/>
        <w:tabs>
          <w:tab w:val="left" w:pos="4864" w:leader="none"/>
        </w:tabs>
        <w:rPr>
          <w:highlight w:val="none"/>
        </w:rPr>
      </w:pPr>
      <w:r>
        <w:rPr>
          <w:rFonts w:ascii="仿宋_GB2312" w:eastAsia="仿宋_GB2312" w:cs="仿宋_GB2312"/>
          <w:color w:val="000000"/>
          <w:sz w:val="30"/>
          <w:szCs w:val="30"/>
          <w:highlight w:val="none"/>
        </w:rPr>
        <w:t xml:space="preserve">             </w:t>
      </w:r>
      <w:r>
        <w:rPr>
          <w:rFonts w:hint="eastAsia" w:ascii="宋体" w:hAnsi="宋体" w:eastAsia="宋体" w:cs="宋体"/>
          <w:color w:val="000000"/>
          <w:highlight w:val="none"/>
        </w:rPr>
        <w:t xml:space="preserve">       供应商全称（加盖CA电子公章）：</w:t>
      </w:r>
      <w:r/>
    </w:p>
    <w:p>
      <w:pPr>
        <w:pStyle w:val="856"/>
        <w:ind w:right="1560" w:firstLine="480"/>
        <w:jc w:val="center"/>
        <w:keepLines w:val="0"/>
        <w:keepNext w:val="0"/>
        <w:pageBreakBefore w:val="0"/>
        <w:spacing w:beforeAutospacing="0" w:afterAutospacing="0" w:line="400" w:lineRule="exact"/>
        <w:widowControl w:val="off"/>
        <w:tabs>
          <w:tab w:val="left" w:pos="4864" w:leader="none"/>
        </w:tabs>
        <w:rPr>
          <w:highlight w:val="none"/>
        </w:rPr>
      </w:pPr>
      <w:r>
        <w:rPr>
          <w:rFonts w:hint="eastAsia" w:ascii="宋体" w:hAnsi="宋体" w:eastAsia="宋体" w:cs="宋体"/>
          <w:color w:val="000000"/>
          <w:highlight w:val="none"/>
        </w:rPr>
        <w:t xml:space="preserve">        日  期：</w:t>
      </w:r>
      <w:r/>
    </w:p>
    <w:p>
      <w:pPr>
        <w:pStyle w:val="856"/>
        <w:jc w:val="center"/>
        <w:spacing w:beforeAutospacing="0" w:afterAutospacing="0" w:line="0" w:lineRule="atLeast"/>
        <w:rPr>
          <w:highlight w:val="none"/>
        </w:rPr>
      </w:pPr>
      <w:r>
        <w:rPr>
          <w:highlight w:val="none"/>
        </w:rPr>
        <w:t xml:space="preserve"> </w:t>
      </w:r>
      <w:r/>
    </w:p>
    <w:p>
      <w:pPr>
        <w:pStyle w:val="856"/>
        <w:jc w:val="center"/>
        <w:spacing w:beforeAutospacing="0" w:afterAutospacing="0" w:line="0" w:lineRule="atLeast"/>
        <w:rPr>
          <w:highlight w:val="none"/>
        </w:rPr>
      </w:pPr>
      <w:r>
        <w:rPr>
          <w:highlight w:val="none"/>
        </w:rPr>
        <w:t xml:space="preserve"> </w:t>
      </w:r>
      <w:r/>
    </w:p>
    <w:p>
      <w:pPr>
        <w:pStyle w:val="856"/>
        <w:jc w:val="center"/>
        <w:spacing w:beforeAutospacing="0" w:afterAutospacing="0" w:line="0" w:lineRule="atLeast"/>
        <w:rPr>
          <w:highlight w:val="none"/>
        </w:rPr>
      </w:pPr>
      <w:r>
        <w:rPr>
          <w:highlight w:val="none"/>
        </w:rPr>
        <w:t xml:space="preserve"> </w:t>
      </w:r>
      <w:r/>
    </w:p>
    <w:p>
      <w:pPr>
        <w:pStyle w:val="856"/>
        <w:jc w:val="center"/>
        <w:spacing w:beforeAutospacing="0" w:afterAutospacing="0" w:line="0" w:lineRule="atLeast"/>
        <w:rPr>
          <w:highlight w:val="none"/>
        </w:rPr>
      </w:pPr>
      <w:r>
        <w:rPr>
          <w:highlight w:val="none"/>
        </w:rPr>
        <w:t xml:space="preserve"> </w:t>
      </w:r>
      <w:r/>
    </w:p>
    <w:p>
      <w:pPr>
        <w:pStyle w:val="856"/>
        <w:jc w:val="center"/>
        <w:spacing w:beforeAutospacing="0" w:afterAutospacing="0" w:line="0" w:lineRule="atLeast"/>
        <w:rPr>
          <w:highlight w:val="none"/>
        </w:rPr>
      </w:pPr>
      <w:r>
        <w:rPr>
          <w:highlight w:val="none"/>
        </w:rPr>
        <w:t xml:space="preserve"> </w:t>
      </w:r>
      <w:r/>
    </w:p>
    <w:p>
      <w:pPr>
        <w:pStyle w:val="856"/>
        <w:jc w:val="center"/>
        <w:spacing w:beforeAutospacing="0" w:afterAutospacing="0" w:line="0" w:lineRule="atLeast"/>
        <w:rPr>
          <w:highlight w:val="none"/>
        </w:rPr>
      </w:pPr>
      <w:r>
        <w:rPr>
          <w:highlight w:val="none"/>
        </w:rPr>
        <w:t xml:space="preserve"> </w:t>
      </w:r>
      <w:r/>
    </w:p>
    <w:p>
      <w:pPr>
        <w:pStyle w:val="856"/>
        <w:jc w:val="center"/>
        <w:spacing w:beforeAutospacing="0" w:afterAutospacing="0" w:line="0" w:lineRule="atLeast"/>
        <w:rPr>
          <w:highlight w:val="none"/>
        </w:rPr>
      </w:pPr>
      <w:r>
        <w:rPr>
          <w:highlight w:val="none"/>
        </w:rPr>
        <w:t xml:space="preserve"> </w:t>
      </w:r>
      <w:r/>
    </w:p>
    <w:p>
      <w:pPr>
        <w:pStyle w:val="856"/>
        <w:jc w:val="center"/>
        <w:spacing w:beforeAutospacing="0" w:afterAutospacing="0" w:line="0" w:lineRule="atLeast"/>
        <w:rPr>
          <w:highlight w:val="none"/>
        </w:rPr>
      </w:pPr>
      <w:r>
        <w:rPr>
          <w:highlight w:val="none"/>
        </w:rPr>
        <w:t xml:space="preserve"> </w:t>
      </w:r>
      <w:r/>
    </w:p>
    <w:p>
      <w:pPr>
        <w:pStyle w:val="856"/>
        <w:jc w:val="center"/>
        <w:spacing w:beforeAutospacing="0" w:afterAutospacing="0" w:line="0" w:lineRule="atLeast"/>
        <w:rPr>
          <w:highlight w:val="none"/>
        </w:rPr>
      </w:pPr>
      <w:r>
        <w:rPr>
          <w:highlight w:val="none"/>
        </w:rPr>
        <w:t xml:space="preserve"> </w:t>
      </w:r>
      <w:r/>
    </w:p>
    <w:p>
      <w:pPr>
        <w:pStyle w:val="856"/>
        <w:jc w:val="center"/>
        <w:spacing w:beforeAutospacing="0" w:afterAutospacing="0" w:line="0" w:lineRule="atLeast"/>
        <w:rPr>
          <w:highlight w:val="none"/>
        </w:rPr>
      </w:pPr>
      <w:r>
        <w:rPr>
          <w:highlight w:val="none"/>
        </w:rPr>
      </w:r>
      <w:r/>
    </w:p>
    <w:p>
      <w:pPr>
        <w:pStyle w:val="856"/>
        <w:jc w:val="center"/>
        <w:spacing w:beforeAutospacing="0" w:afterAutospacing="0" w:line="0" w:lineRule="atLeast"/>
        <w:rPr>
          <w:highlight w:val="none"/>
        </w:rPr>
      </w:pPr>
      <w:r>
        <w:rPr>
          <w:highlight w:val="none"/>
        </w:rPr>
      </w:r>
      <w:r/>
    </w:p>
    <w:p>
      <w:pPr>
        <w:pStyle w:val="856"/>
        <w:jc w:val="center"/>
        <w:spacing w:beforeAutospacing="0" w:afterAutospacing="0" w:line="0" w:lineRule="atLeast"/>
        <w:rPr>
          <w:highlight w:val="none"/>
        </w:rPr>
      </w:pPr>
      <w:r>
        <w:rPr>
          <w:highlight w:val="none"/>
        </w:rPr>
      </w:r>
      <w:r/>
    </w:p>
    <w:p>
      <w:pPr>
        <w:pStyle w:val="856"/>
        <w:jc w:val="center"/>
        <w:spacing w:beforeAutospacing="0" w:afterAutospacing="0" w:line="0" w:lineRule="atLeast"/>
        <w:rPr>
          <w:highlight w:val="none"/>
        </w:rPr>
      </w:pPr>
      <w:r>
        <w:rPr>
          <w:highlight w:val="none"/>
        </w:rPr>
      </w:r>
      <w:r/>
    </w:p>
    <w:p>
      <w:pPr>
        <w:pStyle w:val="856"/>
        <w:jc w:val="center"/>
        <w:spacing w:beforeAutospacing="0" w:afterAutospacing="0" w:line="0" w:lineRule="atLeast"/>
        <w:rPr>
          <w:highlight w:val="none"/>
        </w:rPr>
      </w:pPr>
      <w:r>
        <w:rPr>
          <w:highlight w:val="none"/>
        </w:rPr>
      </w:r>
      <w:r/>
    </w:p>
    <w:p>
      <w:pPr>
        <w:pStyle w:val="856"/>
        <w:jc w:val="center"/>
        <w:spacing w:beforeAutospacing="0" w:afterAutospacing="0" w:line="0" w:lineRule="atLeast"/>
        <w:rPr>
          <w:highlight w:val="none"/>
        </w:rPr>
      </w:pPr>
      <w:r>
        <w:rPr>
          <w:highlight w:val="none"/>
        </w:rPr>
      </w:r>
      <w:r/>
    </w:p>
    <w:p>
      <w:pPr>
        <w:pStyle w:val="856"/>
        <w:jc w:val="center"/>
        <w:spacing w:beforeAutospacing="0" w:afterAutospacing="0" w:line="0" w:lineRule="atLeast"/>
        <w:rPr>
          <w:highlight w:val="none"/>
        </w:rPr>
      </w:pPr>
      <w:r>
        <w:rPr>
          <w:highlight w:val="none"/>
        </w:rPr>
      </w:r>
      <w:r/>
    </w:p>
    <w:p>
      <w:pPr>
        <w:pStyle w:val="856"/>
        <w:jc w:val="center"/>
        <w:spacing w:beforeAutospacing="0" w:afterAutospacing="0" w:line="0" w:lineRule="atLeast"/>
        <w:rPr>
          <w:highlight w:val="none"/>
        </w:rPr>
      </w:pPr>
      <w:r>
        <w:rPr>
          <w:highlight w:val="none"/>
        </w:rPr>
      </w:r>
      <w:r/>
    </w:p>
    <w:p>
      <w:pPr>
        <w:pStyle w:val="856"/>
        <w:jc w:val="center"/>
        <w:spacing w:beforeAutospacing="0" w:afterAutospacing="0" w:line="0" w:lineRule="atLeast"/>
        <w:rPr>
          <w:highlight w:val="none"/>
        </w:rPr>
      </w:pPr>
      <w:r>
        <w:rPr>
          <w:highlight w:val="none"/>
        </w:rPr>
      </w:r>
      <w:r/>
    </w:p>
    <w:p>
      <w:pPr>
        <w:pStyle w:val="856"/>
        <w:jc w:val="center"/>
        <w:spacing w:beforeAutospacing="0" w:afterAutospacing="0" w:line="0" w:lineRule="atLeast"/>
        <w:rPr>
          <w:highlight w:val="none"/>
        </w:rPr>
      </w:pPr>
      <w:r>
        <w:rPr>
          <w:highlight w:val="none"/>
        </w:rPr>
      </w:r>
      <w:r/>
    </w:p>
    <w:p>
      <w:pPr>
        <w:pStyle w:val="856"/>
        <w:jc w:val="center"/>
        <w:spacing w:beforeAutospacing="0" w:afterAutospacing="0" w:line="0" w:lineRule="atLeast"/>
        <w:rPr>
          <w:highlight w:val="none"/>
        </w:rPr>
      </w:pPr>
      <w:r>
        <w:rPr>
          <w:highlight w:val="none"/>
        </w:rPr>
      </w:r>
      <w:r/>
    </w:p>
    <w:p>
      <w:pPr>
        <w:pStyle w:val="856"/>
        <w:jc w:val="center"/>
        <w:spacing w:beforeAutospacing="0" w:afterAutospacing="0" w:line="0" w:lineRule="atLeast"/>
        <w:rPr>
          <w:highlight w:val="none"/>
        </w:rPr>
      </w:pPr>
      <w:r>
        <w:rPr>
          <w:highlight w:val="none"/>
        </w:rPr>
      </w:r>
      <w:r/>
    </w:p>
    <w:p>
      <w:pPr>
        <w:pStyle w:val="856"/>
        <w:jc w:val="center"/>
        <w:spacing w:beforeAutospacing="0" w:afterAutospacing="0" w:line="0" w:lineRule="atLeast"/>
        <w:rPr>
          <w:highlight w:val="none"/>
        </w:rPr>
      </w:pPr>
      <w:r>
        <w:rPr>
          <w:highlight w:val="none"/>
        </w:rPr>
      </w:r>
      <w:r/>
    </w:p>
    <w:p>
      <w:pPr>
        <w:pStyle w:val="856"/>
        <w:jc w:val="center"/>
        <w:spacing w:beforeAutospacing="0" w:afterAutospacing="0" w:line="0" w:lineRule="atLeast"/>
        <w:rPr>
          <w:highlight w:val="none"/>
        </w:rPr>
      </w:pPr>
      <w:r>
        <w:rPr>
          <w:highlight w:val="none"/>
        </w:rPr>
      </w:r>
      <w:r/>
    </w:p>
    <w:p>
      <w:pPr>
        <w:pStyle w:val="856"/>
        <w:jc w:val="center"/>
        <w:spacing w:beforeAutospacing="0" w:afterAutospacing="0" w:line="0" w:lineRule="atLeast"/>
        <w:rPr>
          <w:highlight w:val="none"/>
        </w:rPr>
      </w:pPr>
      <w:r>
        <w:rPr>
          <w:highlight w:val="none"/>
        </w:rPr>
      </w:r>
      <w:r/>
    </w:p>
    <w:p>
      <w:pPr>
        <w:pStyle w:val="856"/>
        <w:jc w:val="center"/>
        <w:spacing w:beforeAutospacing="0" w:afterAutospacing="0" w:line="0" w:lineRule="atLeast"/>
        <w:rPr>
          <w:highlight w:val="none"/>
        </w:rPr>
      </w:pPr>
      <w:r>
        <w:rPr>
          <w:highlight w:val="none"/>
        </w:rPr>
      </w:r>
      <w:r/>
    </w:p>
    <w:p>
      <w:pPr>
        <w:pStyle w:val="856"/>
        <w:jc w:val="center"/>
        <w:spacing w:beforeAutospacing="0" w:afterAutospacing="0" w:line="0" w:lineRule="atLeast"/>
        <w:rPr>
          <w:highlight w:val="none"/>
        </w:rPr>
      </w:pPr>
      <w:r>
        <w:rPr>
          <w:highlight w:val="none"/>
        </w:rPr>
      </w:r>
      <w:r/>
    </w:p>
    <w:p>
      <w:pPr>
        <w:pStyle w:val="856"/>
        <w:jc w:val="center"/>
        <w:spacing w:beforeAutospacing="0" w:afterAutospacing="0" w:line="0" w:lineRule="atLeast"/>
        <w:rPr>
          <w:highlight w:val="none"/>
        </w:rPr>
      </w:pPr>
      <w:r>
        <w:rPr>
          <w:highlight w:val="none"/>
        </w:rPr>
      </w:r>
      <w:r/>
    </w:p>
    <w:p>
      <w:pPr>
        <w:pStyle w:val="856"/>
        <w:jc w:val="center"/>
        <w:spacing w:beforeAutospacing="0" w:afterAutospacing="0" w:line="0" w:lineRule="atLeast"/>
        <w:rPr>
          <w:highlight w:val="none"/>
        </w:rPr>
      </w:pPr>
      <w:r>
        <w:rPr>
          <w:highlight w:val="none"/>
        </w:rPr>
      </w:r>
      <w:r/>
    </w:p>
    <w:p>
      <w:pPr>
        <w:pStyle w:val="856"/>
        <w:jc w:val="center"/>
        <w:spacing w:beforeAutospacing="0" w:afterAutospacing="0"/>
        <w:rPr>
          <w:highlight w:val="none"/>
        </w:rPr>
      </w:pPr>
      <w:r>
        <w:rPr>
          <w:rFonts w:hint="eastAsia" w:ascii="黑体" w:hAnsi="宋体" w:eastAsia="黑体" w:cs="黑体"/>
          <w:b w:val="0"/>
          <w:bCs/>
          <w:color w:val="000000"/>
          <w:sz w:val="32"/>
          <w:szCs w:val="32"/>
          <w:highlight w:val="none"/>
        </w:rPr>
        <w:t xml:space="preserve">十</w:t>
      </w:r>
      <w:r>
        <w:rPr>
          <w:rFonts w:hint="eastAsia" w:ascii="黑体" w:hAnsi="宋体" w:eastAsia="黑体" w:cs="黑体"/>
          <w:b w:val="0"/>
          <w:bCs/>
          <w:color w:val="000000"/>
          <w:sz w:val="32"/>
          <w:szCs w:val="32"/>
          <w:highlight w:val="none"/>
          <w:lang w:eastAsia="zh-CN"/>
        </w:rPr>
        <w:t xml:space="preserve">二</w:t>
      </w:r>
      <w:r>
        <w:rPr>
          <w:rFonts w:hint="eastAsia" w:ascii="黑体" w:hAnsi="宋体" w:eastAsia="黑体" w:cs="黑体"/>
          <w:b w:val="0"/>
          <w:bCs/>
          <w:color w:val="000000"/>
          <w:sz w:val="32"/>
          <w:szCs w:val="32"/>
          <w:highlight w:val="none"/>
        </w:rPr>
        <w:t xml:space="preserve">、投标分项报价表</w:t>
      </w:r>
      <w:r/>
    </w:p>
    <w:p>
      <w:pPr>
        <w:pStyle w:val="856"/>
        <w:jc w:val="both"/>
        <w:spacing w:beforeAutospacing="0" w:afterAutospacing="0"/>
        <w:rPr>
          <w:rFonts w:hint="eastAsia" w:ascii="宋体" w:hAnsi="宋体" w:cs="宋体"/>
          <w:color w:val="000000"/>
        </w:rPr>
      </w:pPr>
      <w:r>
        <w:rPr>
          <w:rFonts w:hint="eastAsia" w:ascii="宋体" w:hAnsi="宋体" w:cs="宋体"/>
          <w:color w:val="000000"/>
        </w:rPr>
      </w:r>
      <w:r/>
    </w:p>
    <w:tbl>
      <w:tblPr>
        <w:tblStyle w:val="848"/>
        <w:tblW w:w="8517" w:type="dxa"/>
        <w:tblCellSpacing w:w="0" w:type="dxa"/>
        <w:tblInd w:w="10" w:type="dxa"/>
        <w:tblLayout w:type="fixed"/>
        <w:tblCellMar>
          <w:left w:w="108" w:type="dxa"/>
          <w:top w:w="0" w:type="dxa"/>
          <w:right w:w="108" w:type="dxa"/>
          <w:bottom w:w="0" w:type="dxa"/>
        </w:tblCellMar>
        <w:tblLook w:val="04A0" w:firstRow="1" w:lastRow="0" w:firstColumn="1" w:lastColumn="0" w:noHBand="0" w:noVBand="1"/>
      </w:tblPr>
      <w:tblGrid>
        <w:gridCol w:w="546"/>
        <w:gridCol w:w="996"/>
        <w:gridCol w:w="905"/>
        <w:gridCol w:w="1298"/>
        <w:gridCol w:w="746"/>
        <w:gridCol w:w="918"/>
        <w:gridCol w:w="696"/>
        <w:gridCol w:w="1261"/>
        <w:gridCol w:w="1151"/>
      </w:tblGrid>
      <w:tr>
        <w:trPr>
          <w:tblCellSpacing w:w="0" w:type="dxa"/>
          <w:trHeight w:val="544"/>
        </w:trPr>
        <w:tc>
          <w:tcPr>
            <w:tcBorders>
              <w:top w:val="single" w:color="000000" w:sz="4" w:space="0"/>
              <w:left w:val="single" w:color="000000" w:sz="4" w:space="0"/>
              <w:bottom w:val="single" w:color="000000" w:sz="4" w:space="0"/>
              <w:right w:val="single" w:color="000000" w:sz="4" w:space="0"/>
            </w:tcBorders>
            <w:tcW w:w="546" w:type="dxa"/>
            <w:vAlign w:val="center"/>
            <w:textDirection w:val="lrTb"/>
            <w:noWrap w:val="false"/>
          </w:tcPr>
          <w:p>
            <w:pPr>
              <w:pStyle w:val="856"/>
              <w:jc w:val="center"/>
              <w:spacing w:beforeAutospacing="0" w:afterAutospacing="0" w:line="0" w:lineRule="atLeast"/>
            </w:pPr>
            <w:r>
              <w:rPr>
                <w:rFonts w:hint="eastAsia" w:ascii="宋体" w:hAnsi="宋体" w:cs="宋体"/>
                <w:color w:val="000000"/>
              </w:rPr>
              <w:t xml:space="preserve">序号</w:t>
            </w:r>
            <w:r/>
          </w:p>
        </w:tc>
        <w:tc>
          <w:tcPr>
            <w:tcBorders>
              <w:top w:val="single" w:color="000000" w:sz="4" w:space="0"/>
              <w:left w:val="single" w:color="000000" w:sz="4" w:space="0"/>
              <w:bottom w:val="single" w:color="000000" w:sz="4" w:space="0"/>
              <w:right w:val="single" w:color="000000" w:sz="4" w:space="0"/>
            </w:tcBorders>
            <w:tcW w:w="996" w:type="dxa"/>
            <w:vAlign w:val="center"/>
            <w:textDirection w:val="lrTb"/>
            <w:noWrap w:val="false"/>
          </w:tcPr>
          <w:p>
            <w:pPr>
              <w:pStyle w:val="856"/>
              <w:jc w:val="center"/>
              <w:spacing w:beforeAutospacing="0" w:afterAutospacing="0" w:line="0" w:lineRule="atLeast"/>
            </w:pPr>
            <w:r>
              <w:rPr>
                <w:rFonts w:hint="eastAsia" w:ascii="宋体" w:hAnsi="宋体" w:cs="宋体"/>
                <w:color w:val="000000"/>
              </w:rPr>
              <w:t xml:space="preserve">1</w:t>
            </w:r>
            <w:r/>
          </w:p>
        </w:tc>
        <w:tc>
          <w:tcPr>
            <w:tcBorders>
              <w:top w:val="single" w:color="000000" w:sz="4" w:space="0"/>
              <w:left w:val="single" w:color="000000" w:sz="4" w:space="0"/>
              <w:bottom w:val="single" w:color="000000" w:sz="4" w:space="0"/>
              <w:right w:val="single" w:color="000000" w:sz="4" w:space="0"/>
            </w:tcBorders>
            <w:tcW w:w="905" w:type="dxa"/>
            <w:vAlign w:val="center"/>
            <w:textDirection w:val="lrTb"/>
            <w:noWrap w:val="false"/>
          </w:tcPr>
          <w:p>
            <w:pPr>
              <w:pStyle w:val="856"/>
              <w:jc w:val="center"/>
              <w:spacing w:beforeAutospacing="0" w:afterAutospacing="0" w:line="0" w:lineRule="atLeast"/>
            </w:pPr>
            <w:r>
              <w:rPr>
                <w:rFonts w:hint="eastAsia" w:ascii="宋体" w:hAnsi="宋体" w:cs="宋体"/>
                <w:color w:val="000000"/>
              </w:rPr>
              <w:t xml:space="preserve">2</w:t>
            </w:r>
            <w:r/>
          </w:p>
        </w:tc>
        <w:tc>
          <w:tcPr>
            <w:tcBorders>
              <w:top w:val="single" w:color="000000" w:sz="4" w:space="0"/>
              <w:left w:val="single" w:color="000000" w:sz="4" w:space="0"/>
              <w:bottom w:val="single" w:color="000000" w:sz="4" w:space="0"/>
              <w:right w:val="single" w:color="000000" w:sz="4" w:space="0"/>
            </w:tcBorders>
            <w:tcW w:w="1298" w:type="dxa"/>
            <w:vAlign w:val="center"/>
            <w:textDirection w:val="lrTb"/>
            <w:noWrap w:val="false"/>
          </w:tcPr>
          <w:p>
            <w:pPr>
              <w:pStyle w:val="856"/>
              <w:jc w:val="center"/>
              <w:spacing w:beforeAutospacing="0" w:afterAutospacing="0" w:line="0" w:lineRule="atLeast"/>
            </w:pPr>
            <w:r>
              <w:rPr>
                <w:rFonts w:hint="eastAsia" w:ascii="宋体" w:hAnsi="宋体" w:cs="宋体"/>
                <w:color w:val="000000"/>
              </w:rPr>
              <w:t xml:space="preserve">3</w:t>
            </w:r>
            <w:r/>
          </w:p>
        </w:tc>
        <w:tc>
          <w:tcPr>
            <w:tcBorders>
              <w:top w:val="single" w:color="000000" w:sz="4" w:space="0"/>
              <w:left w:val="single" w:color="000000" w:sz="4" w:space="0"/>
              <w:bottom w:val="single" w:color="000000" w:sz="4" w:space="0"/>
              <w:right w:val="single" w:color="000000" w:sz="4" w:space="0"/>
            </w:tcBorders>
            <w:tcW w:w="746" w:type="dxa"/>
            <w:vAlign w:val="center"/>
            <w:textDirection w:val="lrTb"/>
            <w:noWrap w:val="false"/>
          </w:tcPr>
          <w:p>
            <w:pPr>
              <w:pStyle w:val="856"/>
              <w:jc w:val="center"/>
              <w:spacing w:beforeAutospacing="0" w:afterAutospacing="0" w:line="0" w:lineRule="atLeast"/>
            </w:pPr>
            <w:r>
              <w:rPr>
                <w:rFonts w:hint="eastAsia" w:ascii="宋体" w:hAnsi="宋体" w:cs="宋体"/>
                <w:color w:val="000000"/>
              </w:rPr>
              <w:t xml:space="preserve">4</w:t>
            </w:r>
            <w:r/>
          </w:p>
        </w:tc>
        <w:tc>
          <w:tcPr>
            <w:tcBorders>
              <w:top w:val="single" w:color="000000" w:sz="4" w:space="0"/>
              <w:left w:val="single" w:color="000000" w:sz="4" w:space="0"/>
              <w:bottom w:val="single" w:color="000000" w:sz="4" w:space="0"/>
              <w:right w:val="single" w:color="000000" w:sz="4" w:space="0"/>
            </w:tcBorders>
            <w:tcW w:w="918" w:type="dxa"/>
            <w:vAlign w:val="center"/>
            <w:textDirection w:val="lrTb"/>
            <w:noWrap w:val="false"/>
          </w:tcPr>
          <w:p>
            <w:pPr>
              <w:pStyle w:val="856"/>
              <w:jc w:val="center"/>
              <w:spacing w:beforeAutospacing="0" w:afterAutospacing="0" w:line="0" w:lineRule="atLeast"/>
            </w:pPr>
            <w:r>
              <w:rPr>
                <w:rFonts w:hint="eastAsia" w:ascii="宋体" w:hAnsi="宋体" w:cs="宋体"/>
                <w:color w:val="000000"/>
              </w:rPr>
              <w:t xml:space="preserve">5</w:t>
            </w:r>
            <w:r/>
          </w:p>
        </w:tc>
        <w:tc>
          <w:tcPr>
            <w:tcBorders>
              <w:top w:val="single" w:color="000000" w:sz="4" w:space="0"/>
              <w:left w:val="single" w:color="000000" w:sz="4" w:space="0"/>
              <w:bottom w:val="single" w:color="000000" w:sz="4" w:space="0"/>
              <w:right w:val="single" w:color="000000" w:sz="4" w:space="0"/>
            </w:tcBorders>
            <w:tcW w:w="696" w:type="dxa"/>
            <w:vAlign w:val="center"/>
            <w:textDirection w:val="lrTb"/>
            <w:noWrap w:val="false"/>
          </w:tcPr>
          <w:p>
            <w:pPr>
              <w:pStyle w:val="856"/>
              <w:jc w:val="center"/>
              <w:spacing w:beforeAutospacing="0" w:afterAutospacing="0" w:line="0" w:lineRule="atLeast"/>
            </w:pPr>
            <w:r>
              <w:rPr>
                <w:rFonts w:hint="eastAsia" w:ascii="宋体" w:hAnsi="宋体" w:cs="宋体"/>
                <w:color w:val="000000"/>
              </w:rPr>
              <w:t xml:space="preserve">6</w:t>
            </w:r>
            <w:r/>
          </w:p>
        </w:tc>
        <w:tc>
          <w:tcPr>
            <w:tcBorders>
              <w:top w:val="single" w:color="000000" w:sz="4" w:space="0"/>
              <w:left w:val="single" w:color="000000" w:sz="4" w:space="0"/>
              <w:bottom w:val="single" w:color="000000" w:sz="4" w:space="0"/>
              <w:right w:val="single" w:color="000000" w:sz="4" w:space="0"/>
            </w:tcBorders>
            <w:tcW w:w="1261" w:type="dxa"/>
            <w:vAlign w:val="center"/>
            <w:textDirection w:val="lrTb"/>
            <w:noWrap w:val="false"/>
          </w:tcPr>
          <w:p>
            <w:pPr>
              <w:pStyle w:val="856"/>
              <w:jc w:val="center"/>
              <w:spacing w:beforeAutospacing="0" w:afterAutospacing="0" w:line="0" w:lineRule="atLeast"/>
            </w:pPr>
            <w:r>
              <w:rPr>
                <w:rFonts w:hint="eastAsia" w:ascii="宋体" w:hAnsi="宋体" w:cs="宋体"/>
                <w:color w:val="000000"/>
              </w:rPr>
              <w:t xml:space="preserve">7</w:t>
            </w:r>
            <w:r/>
          </w:p>
        </w:tc>
        <w:tc>
          <w:tcPr>
            <w:tcBorders>
              <w:top w:val="single" w:color="000000" w:sz="4" w:space="0"/>
              <w:left w:val="single" w:color="000000" w:sz="4" w:space="0"/>
              <w:bottom w:val="single" w:color="000000" w:sz="4" w:space="0"/>
              <w:right w:val="single" w:color="000000" w:sz="4" w:space="0"/>
            </w:tcBorders>
            <w:tcW w:w="1151" w:type="dxa"/>
            <w:vAlign w:val="center"/>
            <w:textDirection w:val="lrTb"/>
            <w:noWrap w:val="false"/>
          </w:tcPr>
          <w:p>
            <w:pPr>
              <w:pStyle w:val="856"/>
              <w:jc w:val="center"/>
              <w:spacing w:beforeAutospacing="0" w:afterAutospacing="0" w:line="0" w:lineRule="atLeast"/>
            </w:pPr>
            <w:r>
              <w:rPr>
                <w:rFonts w:hint="eastAsia" w:ascii="宋体" w:hAnsi="宋体" w:cs="宋体"/>
                <w:color w:val="000000"/>
              </w:rPr>
              <w:t xml:space="preserve">8</w:t>
            </w:r>
            <w:r/>
          </w:p>
        </w:tc>
      </w:tr>
      <w:tr>
        <w:trPr>
          <w:tblCellSpacing w:w="0" w:type="dxa"/>
          <w:trHeight w:val="294"/>
        </w:trPr>
        <w:tc>
          <w:tcPr>
            <w:tcBorders>
              <w:top w:val="single" w:color="000000" w:sz="4" w:space="0"/>
              <w:left w:val="single" w:color="000000" w:sz="4" w:space="0"/>
              <w:bottom w:val="single" w:color="000000" w:sz="4" w:space="0"/>
              <w:right w:val="single" w:color="000000" w:sz="4" w:space="0"/>
            </w:tcBorders>
            <w:tcW w:w="546" w:type="dxa"/>
            <w:vAlign w:val="center"/>
            <w:textDirection w:val="lrTb"/>
            <w:noWrap w:val="false"/>
          </w:tcPr>
          <w:p>
            <w:pPr>
              <w:pStyle w:val="856"/>
              <w:jc w:val="center"/>
              <w:spacing w:beforeAutospacing="0" w:afterAutospacing="0" w:line="0" w:lineRule="atLeast"/>
            </w:pPr>
            <w:r>
              <w:rPr>
                <w:rFonts w:hint="eastAsia" w:ascii="宋体" w:hAnsi="宋体" w:cs="宋体"/>
                <w:color w:val="000000"/>
              </w:rPr>
              <w:t xml:space="preserve">1</w:t>
            </w:r>
            <w:r/>
          </w:p>
        </w:tc>
        <w:tc>
          <w:tcPr>
            <w:tcBorders>
              <w:top w:val="single" w:color="000000" w:sz="4" w:space="0"/>
              <w:left w:val="single" w:color="000000" w:sz="4" w:space="0"/>
              <w:bottom w:val="single" w:color="000000" w:sz="4" w:space="0"/>
              <w:right w:val="single" w:color="000000" w:sz="4" w:space="0"/>
            </w:tcBorders>
            <w:tcW w:w="996" w:type="dxa"/>
            <w:vAlign w:val="center"/>
            <w:textDirection w:val="lrTb"/>
            <w:noWrap w:val="false"/>
          </w:tcPr>
          <w:p>
            <w:pPr>
              <w:pStyle w:val="856"/>
              <w:jc w:val="center"/>
              <w:spacing w:beforeAutospacing="0" w:afterAutospacing="0" w:line="0" w:lineRule="atLeast"/>
            </w:pPr>
            <w:r>
              <w:rPr>
                <w:rFonts w:hint="eastAsia" w:ascii="宋体" w:hAnsi="宋体" w:cs="宋体"/>
                <w:color w:val="000000"/>
              </w:rPr>
              <w:t xml:space="preserve">产品</w:t>
            </w:r>
            <w:r/>
          </w:p>
          <w:p>
            <w:pPr>
              <w:pStyle w:val="856"/>
              <w:jc w:val="center"/>
              <w:spacing w:beforeAutospacing="0" w:afterAutospacing="0" w:line="0" w:lineRule="atLeast"/>
            </w:pPr>
            <w:r>
              <w:rPr>
                <w:rFonts w:hint="eastAsia" w:ascii="宋体" w:hAnsi="宋体" w:cs="宋体"/>
                <w:color w:val="000000"/>
              </w:rPr>
              <w:t xml:space="preserve">名称</w:t>
            </w:r>
            <w:r/>
          </w:p>
        </w:tc>
        <w:tc>
          <w:tcPr>
            <w:tcBorders>
              <w:top w:val="single" w:color="000000" w:sz="4" w:space="0"/>
              <w:left w:val="single" w:color="000000" w:sz="4" w:space="0"/>
              <w:bottom w:val="single" w:color="000000" w:sz="4" w:space="0"/>
              <w:right w:val="single" w:color="000000" w:sz="4" w:space="0"/>
            </w:tcBorders>
            <w:tcW w:w="905" w:type="dxa"/>
            <w:vAlign w:val="center"/>
            <w:textDirection w:val="lrTb"/>
            <w:noWrap w:val="false"/>
          </w:tcPr>
          <w:p>
            <w:pPr>
              <w:pStyle w:val="856"/>
              <w:jc w:val="center"/>
              <w:spacing w:beforeAutospacing="0" w:afterAutospacing="0" w:line="0" w:lineRule="atLeast"/>
            </w:pPr>
            <w:r>
              <w:rPr>
                <w:rFonts w:hint="eastAsia" w:ascii="宋体" w:hAnsi="宋体" w:cs="宋体"/>
                <w:color w:val="000000"/>
              </w:rPr>
              <w:t xml:space="preserve">品牌</w:t>
            </w:r>
            <w:r/>
          </w:p>
        </w:tc>
        <w:tc>
          <w:tcPr>
            <w:tcBorders>
              <w:top w:val="single" w:color="000000" w:sz="4" w:space="0"/>
              <w:left w:val="single" w:color="000000" w:sz="4" w:space="0"/>
              <w:bottom w:val="single" w:color="000000" w:sz="4" w:space="0"/>
              <w:right w:val="single" w:color="000000" w:sz="4" w:space="0"/>
            </w:tcBorders>
            <w:tcW w:w="1298" w:type="dxa"/>
            <w:vAlign w:val="center"/>
            <w:textDirection w:val="lrTb"/>
            <w:noWrap w:val="false"/>
          </w:tcPr>
          <w:p>
            <w:pPr>
              <w:pStyle w:val="856"/>
              <w:jc w:val="center"/>
              <w:spacing w:beforeAutospacing="0" w:afterAutospacing="0" w:line="0" w:lineRule="atLeast"/>
            </w:pPr>
            <w:r>
              <w:rPr>
                <w:rFonts w:hint="eastAsia" w:ascii="宋体" w:hAnsi="宋体" w:cs="宋体"/>
                <w:color w:val="000000"/>
              </w:rPr>
              <w:t xml:space="preserve">规格</w:t>
            </w:r>
            <w:r/>
          </w:p>
          <w:p>
            <w:pPr>
              <w:pStyle w:val="856"/>
              <w:jc w:val="center"/>
              <w:spacing w:beforeAutospacing="0" w:afterAutospacing="0" w:line="0" w:lineRule="atLeast"/>
            </w:pPr>
            <w:r>
              <w:rPr>
                <w:rFonts w:hint="eastAsia" w:ascii="宋体" w:hAnsi="宋体" w:cs="宋体"/>
                <w:color w:val="000000"/>
              </w:rPr>
              <w:t xml:space="preserve">型号</w:t>
            </w:r>
            <w:r/>
          </w:p>
        </w:tc>
        <w:tc>
          <w:tcPr>
            <w:tcBorders>
              <w:top w:val="single" w:color="000000" w:sz="4" w:space="0"/>
              <w:left w:val="single" w:color="000000" w:sz="4" w:space="0"/>
              <w:bottom w:val="single" w:color="000000" w:sz="4" w:space="0"/>
              <w:right w:val="single" w:color="000000" w:sz="4" w:space="0"/>
            </w:tcBorders>
            <w:tcW w:w="746" w:type="dxa"/>
            <w:vAlign w:val="center"/>
            <w:textDirection w:val="lrTb"/>
            <w:noWrap w:val="false"/>
          </w:tcPr>
          <w:p>
            <w:pPr>
              <w:pStyle w:val="856"/>
              <w:jc w:val="center"/>
              <w:spacing w:beforeAutospacing="0" w:afterAutospacing="0" w:line="0" w:lineRule="atLeast"/>
            </w:pPr>
            <w:r>
              <w:rPr>
                <w:rFonts w:hint="eastAsia" w:ascii="宋体" w:hAnsi="宋体" w:cs="宋体"/>
                <w:color w:val="000000"/>
              </w:rPr>
              <w:t xml:space="preserve">生产厂家</w:t>
            </w:r>
            <w:r/>
          </w:p>
        </w:tc>
        <w:tc>
          <w:tcPr>
            <w:tcBorders>
              <w:top w:val="single" w:color="000000" w:sz="4" w:space="0"/>
              <w:left w:val="single" w:color="000000" w:sz="4" w:space="0"/>
              <w:bottom w:val="single" w:color="000000" w:sz="4" w:space="0"/>
              <w:right w:val="single" w:color="000000" w:sz="4" w:space="0"/>
            </w:tcBorders>
            <w:tcW w:w="918" w:type="dxa"/>
            <w:vAlign w:val="center"/>
            <w:textDirection w:val="lrTb"/>
            <w:noWrap w:val="false"/>
          </w:tcPr>
          <w:p>
            <w:pPr>
              <w:pStyle w:val="856"/>
              <w:jc w:val="center"/>
              <w:spacing w:beforeAutospacing="0" w:afterAutospacing="0" w:line="0" w:lineRule="atLeast"/>
            </w:pPr>
            <w:r>
              <w:rPr>
                <w:rFonts w:hint="eastAsia" w:ascii="宋体" w:hAnsi="宋体" w:cs="宋体"/>
                <w:color w:val="000000"/>
              </w:rPr>
              <w:t xml:space="preserve">交付期</w:t>
            </w:r>
            <w:r/>
          </w:p>
        </w:tc>
        <w:tc>
          <w:tcPr>
            <w:tcBorders>
              <w:top w:val="single" w:color="000000" w:sz="4" w:space="0"/>
              <w:left w:val="single" w:color="000000" w:sz="4" w:space="0"/>
              <w:bottom w:val="single" w:color="000000" w:sz="4" w:space="0"/>
              <w:right w:val="single" w:color="000000" w:sz="4" w:space="0"/>
            </w:tcBorders>
            <w:tcW w:w="696" w:type="dxa"/>
            <w:vAlign w:val="center"/>
            <w:textDirection w:val="lrTb"/>
            <w:noWrap w:val="false"/>
          </w:tcPr>
          <w:p>
            <w:pPr>
              <w:pStyle w:val="856"/>
              <w:jc w:val="center"/>
              <w:spacing w:beforeAutospacing="0" w:afterAutospacing="0" w:line="0" w:lineRule="atLeast"/>
            </w:pPr>
            <w:r>
              <w:rPr>
                <w:rFonts w:hint="eastAsia" w:ascii="宋体" w:hAnsi="宋体" w:cs="宋体"/>
                <w:color w:val="000000"/>
              </w:rPr>
              <w:t xml:space="preserve">数量</w:t>
            </w:r>
            <w:r/>
          </w:p>
        </w:tc>
        <w:tc>
          <w:tcPr>
            <w:tcBorders>
              <w:top w:val="single" w:color="000000" w:sz="4" w:space="0"/>
              <w:left w:val="single" w:color="000000" w:sz="4" w:space="0"/>
              <w:bottom w:val="single" w:color="000000" w:sz="4" w:space="0"/>
              <w:right w:val="single" w:color="000000" w:sz="4" w:space="0"/>
            </w:tcBorders>
            <w:tcW w:w="1261" w:type="dxa"/>
            <w:vAlign w:val="center"/>
            <w:textDirection w:val="lrTb"/>
            <w:noWrap w:val="false"/>
          </w:tcPr>
          <w:p>
            <w:pPr>
              <w:pStyle w:val="856"/>
              <w:jc w:val="center"/>
              <w:spacing w:beforeAutospacing="0" w:afterAutospacing="0" w:line="0" w:lineRule="atLeast"/>
            </w:pPr>
            <w:r>
              <w:rPr>
                <w:rFonts w:hint="eastAsia" w:ascii="宋体" w:hAnsi="宋体" w:cs="宋体"/>
                <w:color w:val="000000"/>
              </w:rPr>
              <w:t xml:space="preserve">分项单价</w:t>
            </w:r>
            <w:r/>
          </w:p>
        </w:tc>
        <w:tc>
          <w:tcPr>
            <w:tcBorders>
              <w:top w:val="single" w:color="000000" w:sz="4" w:space="0"/>
              <w:left w:val="single" w:color="000000" w:sz="4" w:space="0"/>
              <w:bottom w:val="single" w:color="000000" w:sz="4" w:space="0"/>
              <w:right w:val="single" w:color="000000" w:sz="4" w:space="0"/>
            </w:tcBorders>
            <w:tcW w:w="1151" w:type="dxa"/>
            <w:vAlign w:val="center"/>
            <w:textDirection w:val="lrTb"/>
            <w:noWrap w:val="false"/>
          </w:tcPr>
          <w:p>
            <w:pPr>
              <w:pStyle w:val="856"/>
              <w:jc w:val="center"/>
              <w:spacing w:beforeAutospacing="0" w:afterAutospacing="0" w:line="0" w:lineRule="atLeast"/>
            </w:pPr>
            <w:r>
              <w:rPr>
                <w:rFonts w:hint="eastAsia" w:ascii="宋体" w:hAnsi="宋体" w:cs="宋体"/>
                <w:color w:val="000000"/>
              </w:rPr>
              <w:t xml:space="preserve">分项总价</w:t>
            </w:r>
            <w:r/>
          </w:p>
        </w:tc>
      </w:tr>
      <w:tr>
        <w:trPr>
          <w:tblCellSpacing w:w="0" w:type="dxa"/>
          <w:trHeight w:val="696"/>
        </w:trPr>
        <w:tc>
          <w:tcPr>
            <w:tcBorders>
              <w:top w:val="single" w:color="000000" w:sz="4" w:space="0"/>
              <w:left w:val="single" w:color="000000" w:sz="4" w:space="0"/>
              <w:bottom w:val="single" w:color="000000" w:sz="4" w:space="0"/>
              <w:right w:val="single" w:color="000000" w:sz="4" w:space="0"/>
            </w:tcBorders>
            <w:tcW w:w="546" w:type="dxa"/>
            <w:vAlign w:val="center"/>
            <w:textDirection w:val="lrTb"/>
            <w:noWrap w:val="false"/>
          </w:tcPr>
          <w:p>
            <w:pPr>
              <w:pStyle w:val="856"/>
              <w:jc w:val="center"/>
              <w:spacing w:beforeAutospacing="0" w:afterAutospacing="0" w:line="0" w:lineRule="atLeast"/>
            </w:pPr>
            <w:r>
              <w:rPr>
                <w:rFonts w:hint="eastAsia" w:ascii="宋体" w:hAnsi="宋体" w:cs="宋体"/>
                <w:color w:val="000000"/>
              </w:rPr>
              <w:t xml:space="preserve">2</w:t>
            </w:r>
            <w:r/>
          </w:p>
        </w:tc>
        <w:tc>
          <w:tcPr>
            <w:tcBorders>
              <w:top w:val="single" w:color="000000" w:sz="4" w:space="0"/>
              <w:left w:val="single" w:color="000000" w:sz="4" w:space="0"/>
              <w:bottom w:val="single" w:color="000000" w:sz="4" w:space="0"/>
              <w:right w:val="single" w:color="000000" w:sz="4" w:space="0"/>
            </w:tcBorders>
            <w:tcW w:w="996" w:type="dxa"/>
            <w:vAlign w:val="center"/>
            <w:textDirection w:val="lrTb"/>
            <w:noWrap w:val="false"/>
          </w:tcPr>
          <w:p>
            <w:pPr>
              <w:pStyle w:val="856"/>
              <w:jc w:val="both"/>
              <w:spacing w:beforeAutospacing="0" w:afterAutospacing="0" w:line="0" w:lineRule="atLeast"/>
            </w:pPr>
            <w:r>
              <w:t xml:space="preserve"> </w:t>
            </w:r>
            <w:r/>
          </w:p>
        </w:tc>
        <w:tc>
          <w:tcPr>
            <w:tcBorders>
              <w:top w:val="single" w:color="000000" w:sz="4" w:space="0"/>
              <w:left w:val="single" w:color="000000" w:sz="4" w:space="0"/>
              <w:bottom w:val="single" w:color="000000" w:sz="4" w:space="0"/>
              <w:right w:val="single" w:color="000000" w:sz="4" w:space="0"/>
            </w:tcBorders>
            <w:tcW w:w="905" w:type="dxa"/>
            <w:vAlign w:val="center"/>
            <w:textDirection w:val="lrTb"/>
            <w:noWrap w:val="false"/>
          </w:tcPr>
          <w:p>
            <w:pPr>
              <w:pStyle w:val="856"/>
              <w:jc w:val="both"/>
              <w:spacing w:beforeAutospacing="0" w:afterAutospacing="0" w:line="0" w:lineRule="atLeast"/>
            </w:pPr>
            <w:r>
              <w:t xml:space="preserve"> </w:t>
            </w:r>
            <w:r/>
          </w:p>
        </w:tc>
        <w:tc>
          <w:tcPr>
            <w:tcBorders>
              <w:top w:val="single" w:color="000000" w:sz="4" w:space="0"/>
              <w:left w:val="single" w:color="000000" w:sz="4" w:space="0"/>
              <w:bottom w:val="single" w:color="000000" w:sz="4" w:space="0"/>
              <w:right w:val="single" w:color="000000" w:sz="4" w:space="0"/>
            </w:tcBorders>
            <w:tcW w:w="1298" w:type="dxa"/>
            <w:vAlign w:val="center"/>
            <w:textDirection w:val="lrTb"/>
            <w:noWrap w:val="false"/>
          </w:tcPr>
          <w:p>
            <w:pPr>
              <w:pStyle w:val="856"/>
              <w:jc w:val="both"/>
              <w:spacing w:beforeAutospacing="0" w:afterAutospacing="0" w:line="0" w:lineRule="atLeast"/>
            </w:pPr>
            <w:r>
              <w:t xml:space="preserve"> </w:t>
            </w:r>
            <w:r/>
          </w:p>
        </w:tc>
        <w:tc>
          <w:tcPr>
            <w:tcBorders>
              <w:top w:val="single" w:color="000000" w:sz="4" w:space="0"/>
              <w:left w:val="single" w:color="000000" w:sz="4" w:space="0"/>
              <w:bottom w:val="single" w:color="000000" w:sz="4" w:space="0"/>
              <w:right w:val="single" w:color="000000" w:sz="4" w:space="0"/>
            </w:tcBorders>
            <w:tcW w:w="746" w:type="dxa"/>
            <w:vAlign w:val="center"/>
            <w:textDirection w:val="lrTb"/>
            <w:noWrap w:val="false"/>
          </w:tcPr>
          <w:p>
            <w:pPr>
              <w:pStyle w:val="856"/>
              <w:jc w:val="both"/>
              <w:spacing w:beforeAutospacing="0" w:afterAutospacing="0" w:line="0" w:lineRule="atLeast"/>
            </w:pPr>
            <w:r>
              <w:t xml:space="preserve"> </w:t>
            </w:r>
            <w:r/>
          </w:p>
        </w:tc>
        <w:tc>
          <w:tcPr>
            <w:tcBorders>
              <w:top w:val="single" w:color="000000" w:sz="4" w:space="0"/>
              <w:left w:val="single" w:color="000000" w:sz="4" w:space="0"/>
              <w:bottom w:val="single" w:color="000000" w:sz="4" w:space="0"/>
              <w:right w:val="single" w:color="000000" w:sz="4" w:space="0"/>
            </w:tcBorders>
            <w:tcW w:w="918" w:type="dxa"/>
            <w:vAlign w:val="center"/>
            <w:textDirection w:val="lrTb"/>
            <w:noWrap w:val="false"/>
          </w:tcPr>
          <w:p>
            <w:pPr>
              <w:pStyle w:val="856"/>
              <w:jc w:val="both"/>
              <w:spacing w:beforeAutospacing="0" w:afterAutospacing="0" w:line="0" w:lineRule="atLeast"/>
            </w:pPr>
            <w:r>
              <w:t xml:space="preserve"> </w:t>
            </w:r>
            <w:r/>
          </w:p>
        </w:tc>
        <w:tc>
          <w:tcPr>
            <w:tcBorders>
              <w:top w:val="single" w:color="000000" w:sz="4" w:space="0"/>
              <w:left w:val="single" w:color="000000" w:sz="4" w:space="0"/>
              <w:bottom w:val="single" w:color="000000" w:sz="4" w:space="0"/>
              <w:right w:val="single" w:color="000000" w:sz="4" w:space="0"/>
            </w:tcBorders>
            <w:tcW w:w="696" w:type="dxa"/>
            <w:vAlign w:val="center"/>
            <w:textDirection w:val="lrTb"/>
            <w:noWrap w:val="false"/>
          </w:tcPr>
          <w:p>
            <w:pPr>
              <w:pStyle w:val="856"/>
              <w:jc w:val="both"/>
              <w:spacing w:beforeAutospacing="0" w:afterAutospacing="0" w:line="0" w:lineRule="atLeast"/>
            </w:pPr>
            <w:r>
              <w:t xml:space="preserve"> </w:t>
            </w:r>
            <w:r/>
          </w:p>
        </w:tc>
        <w:tc>
          <w:tcPr>
            <w:tcBorders>
              <w:top w:val="single" w:color="000000" w:sz="4" w:space="0"/>
              <w:left w:val="single" w:color="000000" w:sz="4" w:space="0"/>
              <w:bottom w:val="single" w:color="000000" w:sz="4" w:space="0"/>
              <w:right w:val="single" w:color="000000" w:sz="4" w:space="0"/>
            </w:tcBorders>
            <w:tcW w:w="1261" w:type="dxa"/>
            <w:vAlign w:val="center"/>
            <w:textDirection w:val="lrTb"/>
            <w:noWrap w:val="false"/>
          </w:tcPr>
          <w:p>
            <w:pPr>
              <w:pStyle w:val="856"/>
              <w:jc w:val="both"/>
              <w:spacing w:beforeAutospacing="0" w:afterAutospacing="0" w:line="0" w:lineRule="atLeast"/>
            </w:pPr>
            <w:r>
              <w:t xml:space="preserve"> </w:t>
            </w:r>
            <w:r/>
          </w:p>
        </w:tc>
        <w:tc>
          <w:tcPr>
            <w:tcBorders>
              <w:top w:val="single" w:color="000000" w:sz="4" w:space="0"/>
              <w:left w:val="single" w:color="000000" w:sz="4" w:space="0"/>
              <w:bottom w:val="single" w:color="000000" w:sz="4" w:space="0"/>
              <w:right w:val="single" w:color="000000" w:sz="4" w:space="0"/>
            </w:tcBorders>
            <w:tcW w:w="1151" w:type="dxa"/>
            <w:vAlign w:val="center"/>
            <w:textDirection w:val="lrTb"/>
            <w:noWrap w:val="false"/>
          </w:tcPr>
          <w:p>
            <w:pPr>
              <w:pStyle w:val="856"/>
              <w:jc w:val="both"/>
              <w:spacing w:beforeAutospacing="0" w:afterAutospacing="0" w:line="0" w:lineRule="atLeast"/>
            </w:pPr>
            <w:r>
              <w:t xml:space="preserve"> </w:t>
            </w:r>
            <w:r/>
          </w:p>
        </w:tc>
      </w:tr>
      <w:tr>
        <w:trPr>
          <w:tblCellSpacing w:w="0" w:type="dxa"/>
          <w:trHeight w:val="724"/>
        </w:trPr>
        <w:tc>
          <w:tcPr>
            <w:tcBorders>
              <w:top w:val="single" w:color="000000" w:sz="4" w:space="0"/>
              <w:left w:val="single" w:color="000000" w:sz="4" w:space="0"/>
              <w:bottom w:val="single" w:color="000000" w:sz="4" w:space="0"/>
              <w:right w:val="single" w:color="000000" w:sz="4" w:space="0"/>
            </w:tcBorders>
            <w:tcW w:w="546" w:type="dxa"/>
            <w:vAlign w:val="center"/>
            <w:textDirection w:val="lrTb"/>
            <w:noWrap w:val="false"/>
          </w:tcPr>
          <w:p>
            <w:pPr>
              <w:pStyle w:val="856"/>
              <w:jc w:val="center"/>
              <w:spacing w:beforeAutospacing="0" w:afterAutospacing="0" w:line="0" w:lineRule="atLeast"/>
            </w:pPr>
            <w:r>
              <w:rPr>
                <w:rFonts w:hint="eastAsia" w:ascii="宋体" w:hAnsi="宋体" w:cs="宋体"/>
                <w:color w:val="000000"/>
              </w:rPr>
              <w:t xml:space="preserve">3</w:t>
            </w:r>
            <w:r/>
          </w:p>
        </w:tc>
        <w:tc>
          <w:tcPr>
            <w:tcBorders>
              <w:top w:val="single" w:color="000000" w:sz="4" w:space="0"/>
              <w:left w:val="single" w:color="000000" w:sz="4" w:space="0"/>
              <w:bottom w:val="single" w:color="000000" w:sz="4" w:space="0"/>
              <w:right w:val="single" w:color="000000" w:sz="4" w:space="0"/>
            </w:tcBorders>
            <w:tcW w:w="996" w:type="dxa"/>
            <w:vAlign w:val="center"/>
            <w:textDirection w:val="lrTb"/>
            <w:noWrap w:val="false"/>
          </w:tcPr>
          <w:p>
            <w:pPr>
              <w:pStyle w:val="856"/>
              <w:jc w:val="both"/>
              <w:spacing w:beforeAutospacing="0" w:afterAutospacing="0" w:line="0" w:lineRule="atLeast"/>
            </w:pPr>
            <w:r>
              <w:t xml:space="preserve"> </w:t>
            </w:r>
            <w:r/>
          </w:p>
        </w:tc>
        <w:tc>
          <w:tcPr>
            <w:tcBorders>
              <w:top w:val="single" w:color="000000" w:sz="4" w:space="0"/>
              <w:left w:val="single" w:color="000000" w:sz="4" w:space="0"/>
              <w:bottom w:val="single" w:color="000000" w:sz="4" w:space="0"/>
              <w:right w:val="single" w:color="000000" w:sz="4" w:space="0"/>
            </w:tcBorders>
            <w:tcW w:w="905" w:type="dxa"/>
            <w:vAlign w:val="center"/>
            <w:textDirection w:val="lrTb"/>
            <w:noWrap w:val="false"/>
          </w:tcPr>
          <w:p>
            <w:pPr>
              <w:pStyle w:val="856"/>
              <w:jc w:val="both"/>
              <w:spacing w:beforeAutospacing="0" w:afterAutospacing="0" w:line="0" w:lineRule="atLeast"/>
            </w:pPr>
            <w:r>
              <w:t xml:space="preserve"> </w:t>
            </w:r>
            <w:r/>
          </w:p>
        </w:tc>
        <w:tc>
          <w:tcPr>
            <w:tcBorders>
              <w:top w:val="single" w:color="000000" w:sz="4" w:space="0"/>
              <w:left w:val="single" w:color="000000" w:sz="4" w:space="0"/>
              <w:bottom w:val="single" w:color="000000" w:sz="4" w:space="0"/>
              <w:right w:val="single" w:color="000000" w:sz="4" w:space="0"/>
            </w:tcBorders>
            <w:tcW w:w="1298" w:type="dxa"/>
            <w:vAlign w:val="center"/>
            <w:textDirection w:val="lrTb"/>
            <w:noWrap w:val="false"/>
          </w:tcPr>
          <w:p>
            <w:pPr>
              <w:pStyle w:val="856"/>
              <w:jc w:val="both"/>
              <w:spacing w:beforeAutospacing="0" w:afterAutospacing="0" w:line="0" w:lineRule="atLeast"/>
            </w:pPr>
            <w:r>
              <w:t xml:space="preserve"> </w:t>
            </w:r>
            <w:r/>
          </w:p>
        </w:tc>
        <w:tc>
          <w:tcPr>
            <w:tcBorders>
              <w:top w:val="single" w:color="000000" w:sz="4" w:space="0"/>
              <w:left w:val="single" w:color="000000" w:sz="4" w:space="0"/>
              <w:bottom w:val="single" w:color="000000" w:sz="4" w:space="0"/>
              <w:right w:val="single" w:color="000000" w:sz="4" w:space="0"/>
            </w:tcBorders>
            <w:tcW w:w="746" w:type="dxa"/>
            <w:vAlign w:val="center"/>
            <w:textDirection w:val="lrTb"/>
            <w:noWrap w:val="false"/>
          </w:tcPr>
          <w:p>
            <w:pPr>
              <w:pStyle w:val="856"/>
              <w:jc w:val="both"/>
              <w:spacing w:beforeAutospacing="0" w:afterAutospacing="0" w:line="0" w:lineRule="atLeast"/>
            </w:pPr>
            <w:r>
              <w:t xml:space="preserve"> </w:t>
            </w:r>
            <w:r/>
          </w:p>
        </w:tc>
        <w:tc>
          <w:tcPr>
            <w:tcBorders>
              <w:top w:val="single" w:color="000000" w:sz="4" w:space="0"/>
              <w:left w:val="single" w:color="000000" w:sz="4" w:space="0"/>
              <w:bottom w:val="single" w:color="000000" w:sz="4" w:space="0"/>
              <w:right w:val="single" w:color="000000" w:sz="4" w:space="0"/>
            </w:tcBorders>
            <w:tcW w:w="918" w:type="dxa"/>
            <w:vAlign w:val="center"/>
            <w:textDirection w:val="lrTb"/>
            <w:noWrap w:val="false"/>
          </w:tcPr>
          <w:p>
            <w:pPr>
              <w:pStyle w:val="856"/>
              <w:jc w:val="both"/>
              <w:spacing w:beforeAutospacing="0" w:afterAutospacing="0" w:line="0" w:lineRule="atLeast"/>
            </w:pPr>
            <w:r>
              <w:t xml:space="preserve"> </w:t>
            </w:r>
            <w:r/>
          </w:p>
        </w:tc>
        <w:tc>
          <w:tcPr>
            <w:tcBorders>
              <w:top w:val="single" w:color="000000" w:sz="4" w:space="0"/>
              <w:left w:val="single" w:color="000000" w:sz="4" w:space="0"/>
              <w:bottom w:val="single" w:color="000000" w:sz="4" w:space="0"/>
              <w:right w:val="single" w:color="000000" w:sz="4" w:space="0"/>
            </w:tcBorders>
            <w:tcW w:w="696" w:type="dxa"/>
            <w:vAlign w:val="center"/>
            <w:textDirection w:val="lrTb"/>
            <w:noWrap w:val="false"/>
          </w:tcPr>
          <w:p>
            <w:pPr>
              <w:pStyle w:val="856"/>
              <w:jc w:val="both"/>
              <w:spacing w:beforeAutospacing="0" w:afterAutospacing="0" w:line="0" w:lineRule="atLeast"/>
            </w:pPr>
            <w:r>
              <w:t xml:space="preserve"> </w:t>
            </w:r>
            <w:r/>
          </w:p>
        </w:tc>
        <w:tc>
          <w:tcPr>
            <w:tcBorders>
              <w:top w:val="single" w:color="000000" w:sz="4" w:space="0"/>
              <w:left w:val="single" w:color="000000" w:sz="4" w:space="0"/>
              <w:bottom w:val="single" w:color="000000" w:sz="4" w:space="0"/>
              <w:right w:val="single" w:color="000000" w:sz="4" w:space="0"/>
            </w:tcBorders>
            <w:tcW w:w="1261" w:type="dxa"/>
            <w:vAlign w:val="center"/>
            <w:textDirection w:val="lrTb"/>
            <w:noWrap w:val="false"/>
          </w:tcPr>
          <w:p>
            <w:pPr>
              <w:pStyle w:val="856"/>
              <w:jc w:val="both"/>
              <w:spacing w:beforeAutospacing="0" w:afterAutospacing="0" w:line="0" w:lineRule="atLeast"/>
            </w:pPr>
            <w:r>
              <w:t xml:space="preserve"> </w:t>
            </w:r>
            <w:r/>
          </w:p>
        </w:tc>
        <w:tc>
          <w:tcPr>
            <w:tcBorders>
              <w:top w:val="single" w:color="000000" w:sz="4" w:space="0"/>
              <w:left w:val="single" w:color="000000" w:sz="4" w:space="0"/>
              <w:bottom w:val="single" w:color="000000" w:sz="4" w:space="0"/>
              <w:right w:val="single" w:color="000000" w:sz="4" w:space="0"/>
            </w:tcBorders>
            <w:tcW w:w="1151" w:type="dxa"/>
            <w:vAlign w:val="center"/>
            <w:textDirection w:val="lrTb"/>
            <w:noWrap w:val="false"/>
          </w:tcPr>
          <w:p>
            <w:pPr>
              <w:pStyle w:val="856"/>
              <w:jc w:val="both"/>
              <w:spacing w:beforeAutospacing="0" w:afterAutospacing="0" w:line="0" w:lineRule="atLeast"/>
            </w:pPr>
            <w:r>
              <w:t xml:space="preserve"> </w:t>
            </w:r>
            <w:r/>
          </w:p>
        </w:tc>
      </w:tr>
      <w:tr>
        <w:trPr>
          <w:tblCellSpacing w:w="0" w:type="dxa"/>
          <w:trHeight w:val="640"/>
        </w:trPr>
        <w:tc>
          <w:tcPr>
            <w:tcBorders>
              <w:top w:val="single" w:color="000000" w:sz="4" w:space="0"/>
              <w:left w:val="single" w:color="000000" w:sz="4" w:space="0"/>
              <w:bottom w:val="single" w:color="000000" w:sz="4" w:space="0"/>
              <w:right w:val="single" w:color="000000" w:sz="4" w:space="0"/>
            </w:tcBorders>
            <w:tcW w:w="546" w:type="dxa"/>
            <w:vAlign w:val="center"/>
            <w:textDirection w:val="lrTb"/>
            <w:noWrap w:val="false"/>
          </w:tcPr>
          <w:p>
            <w:pPr>
              <w:pStyle w:val="856"/>
              <w:jc w:val="center"/>
              <w:spacing w:beforeAutospacing="0" w:afterAutospacing="0" w:line="0" w:lineRule="atLeast"/>
            </w:pPr>
            <w:r>
              <w:rPr>
                <w:rFonts w:hint="eastAsia" w:ascii="宋体" w:hAnsi="宋体" w:cs="宋体"/>
                <w:color w:val="000000"/>
              </w:rPr>
              <w:t xml:space="preserve">4</w:t>
            </w:r>
            <w:r/>
          </w:p>
        </w:tc>
        <w:tc>
          <w:tcPr>
            <w:tcBorders>
              <w:top w:val="single" w:color="000000" w:sz="4" w:space="0"/>
              <w:left w:val="single" w:color="000000" w:sz="4" w:space="0"/>
              <w:bottom w:val="single" w:color="000000" w:sz="4" w:space="0"/>
              <w:right w:val="single" w:color="000000" w:sz="4" w:space="0"/>
            </w:tcBorders>
            <w:tcW w:w="996" w:type="dxa"/>
            <w:vAlign w:val="center"/>
            <w:textDirection w:val="lrTb"/>
            <w:noWrap w:val="false"/>
          </w:tcPr>
          <w:p>
            <w:pPr>
              <w:pStyle w:val="856"/>
              <w:jc w:val="both"/>
              <w:spacing w:beforeAutospacing="0" w:afterAutospacing="0" w:line="0" w:lineRule="atLeast"/>
            </w:pPr>
            <w:r>
              <w:t xml:space="preserve"> </w:t>
            </w:r>
            <w:r/>
          </w:p>
        </w:tc>
        <w:tc>
          <w:tcPr>
            <w:tcBorders>
              <w:top w:val="single" w:color="000000" w:sz="4" w:space="0"/>
              <w:left w:val="single" w:color="000000" w:sz="4" w:space="0"/>
              <w:bottom w:val="single" w:color="000000" w:sz="4" w:space="0"/>
              <w:right w:val="single" w:color="000000" w:sz="4" w:space="0"/>
            </w:tcBorders>
            <w:tcW w:w="905" w:type="dxa"/>
            <w:vAlign w:val="center"/>
            <w:textDirection w:val="lrTb"/>
            <w:noWrap w:val="false"/>
          </w:tcPr>
          <w:p>
            <w:pPr>
              <w:pStyle w:val="856"/>
              <w:jc w:val="both"/>
              <w:spacing w:beforeAutospacing="0" w:afterAutospacing="0" w:line="0" w:lineRule="atLeast"/>
            </w:pPr>
            <w:r>
              <w:t xml:space="preserve"> </w:t>
            </w:r>
            <w:r/>
          </w:p>
        </w:tc>
        <w:tc>
          <w:tcPr>
            <w:tcBorders>
              <w:top w:val="single" w:color="000000" w:sz="4" w:space="0"/>
              <w:left w:val="single" w:color="000000" w:sz="4" w:space="0"/>
              <w:bottom w:val="single" w:color="000000" w:sz="4" w:space="0"/>
              <w:right w:val="single" w:color="000000" w:sz="4" w:space="0"/>
            </w:tcBorders>
            <w:tcW w:w="1298" w:type="dxa"/>
            <w:vAlign w:val="center"/>
            <w:textDirection w:val="lrTb"/>
            <w:noWrap w:val="false"/>
          </w:tcPr>
          <w:p>
            <w:pPr>
              <w:pStyle w:val="856"/>
              <w:jc w:val="both"/>
              <w:spacing w:beforeAutospacing="0" w:afterAutospacing="0" w:line="0" w:lineRule="atLeast"/>
            </w:pPr>
            <w:r>
              <w:t xml:space="preserve"> </w:t>
            </w:r>
            <w:r/>
          </w:p>
        </w:tc>
        <w:tc>
          <w:tcPr>
            <w:tcBorders>
              <w:top w:val="single" w:color="000000" w:sz="4" w:space="0"/>
              <w:left w:val="single" w:color="000000" w:sz="4" w:space="0"/>
              <w:bottom w:val="single" w:color="000000" w:sz="4" w:space="0"/>
              <w:right w:val="single" w:color="000000" w:sz="4" w:space="0"/>
            </w:tcBorders>
            <w:tcW w:w="746" w:type="dxa"/>
            <w:vAlign w:val="center"/>
            <w:textDirection w:val="lrTb"/>
            <w:noWrap w:val="false"/>
          </w:tcPr>
          <w:p>
            <w:pPr>
              <w:pStyle w:val="856"/>
              <w:jc w:val="both"/>
              <w:spacing w:beforeAutospacing="0" w:afterAutospacing="0" w:line="0" w:lineRule="atLeast"/>
            </w:pPr>
            <w:r>
              <w:t xml:space="preserve"> </w:t>
            </w:r>
            <w:r/>
          </w:p>
        </w:tc>
        <w:tc>
          <w:tcPr>
            <w:tcBorders>
              <w:top w:val="single" w:color="000000" w:sz="4" w:space="0"/>
              <w:left w:val="single" w:color="000000" w:sz="4" w:space="0"/>
              <w:bottom w:val="single" w:color="000000" w:sz="4" w:space="0"/>
              <w:right w:val="single" w:color="000000" w:sz="4" w:space="0"/>
            </w:tcBorders>
            <w:tcW w:w="918" w:type="dxa"/>
            <w:vAlign w:val="center"/>
            <w:textDirection w:val="lrTb"/>
            <w:noWrap w:val="false"/>
          </w:tcPr>
          <w:p>
            <w:pPr>
              <w:pStyle w:val="856"/>
              <w:jc w:val="both"/>
              <w:spacing w:beforeAutospacing="0" w:afterAutospacing="0" w:line="0" w:lineRule="atLeast"/>
            </w:pPr>
            <w:r>
              <w:t xml:space="preserve"> </w:t>
            </w:r>
            <w:r/>
          </w:p>
        </w:tc>
        <w:tc>
          <w:tcPr>
            <w:tcBorders>
              <w:top w:val="single" w:color="000000" w:sz="4" w:space="0"/>
              <w:left w:val="single" w:color="000000" w:sz="4" w:space="0"/>
              <w:bottom w:val="single" w:color="000000" w:sz="4" w:space="0"/>
              <w:right w:val="single" w:color="000000" w:sz="4" w:space="0"/>
            </w:tcBorders>
            <w:tcW w:w="696" w:type="dxa"/>
            <w:vAlign w:val="center"/>
            <w:textDirection w:val="lrTb"/>
            <w:noWrap w:val="false"/>
          </w:tcPr>
          <w:p>
            <w:pPr>
              <w:pStyle w:val="856"/>
              <w:jc w:val="both"/>
              <w:spacing w:beforeAutospacing="0" w:afterAutospacing="0" w:line="0" w:lineRule="atLeast"/>
            </w:pPr>
            <w:r>
              <w:t xml:space="preserve"> </w:t>
            </w:r>
            <w:r/>
          </w:p>
        </w:tc>
        <w:tc>
          <w:tcPr>
            <w:tcBorders>
              <w:top w:val="single" w:color="000000" w:sz="4" w:space="0"/>
              <w:left w:val="single" w:color="000000" w:sz="4" w:space="0"/>
              <w:bottom w:val="single" w:color="000000" w:sz="4" w:space="0"/>
              <w:right w:val="single" w:color="000000" w:sz="4" w:space="0"/>
            </w:tcBorders>
            <w:tcW w:w="1261" w:type="dxa"/>
            <w:vAlign w:val="center"/>
            <w:textDirection w:val="lrTb"/>
            <w:noWrap w:val="false"/>
          </w:tcPr>
          <w:p>
            <w:pPr>
              <w:pStyle w:val="856"/>
              <w:jc w:val="both"/>
              <w:spacing w:beforeAutospacing="0" w:afterAutospacing="0" w:line="0" w:lineRule="atLeast"/>
            </w:pPr>
            <w:r>
              <w:t xml:space="preserve"> </w:t>
            </w:r>
            <w:r/>
          </w:p>
        </w:tc>
        <w:tc>
          <w:tcPr>
            <w:tcBorders>
              <w:top w:val="single" w:color="000000" w:sz="4" w:space="0"/>
              <w:left w:val="single" w:color="000000" w:sz="4" w:space="0"/>
              <w:bottom w:val="single" w:color="000000" w:sz="4" w:space="0"/>
              <w:right w:val="single" w:color="000000" w:sz="4" w:space="0"/>
            </w:tcBorders>
            <w:tcW w:w="1151" w:type="dxa"/>
            <w:vAlign w:val="center"/>
            <w:textDirection w:val="lrTb"/>
            <w:noWrap w:val="false"/>
          </w:tcPr>
          <w:p>
            <w:pPr>
              <w:pStyle w:val="856"/>
              <w:jc w:val="both"/>
              <w:spacing w:beforeAutospacing="0" w:afterAutospacing="0" w:line="0" w:lineRule="atLeast"/>
            </w:pPr>
            <w:r>
              <w:t xml:space="preserve"> </w:t>
            </w:r>
            <w:r/>
          </w:p>
        </w:tc>
      </w:tr>
      <w:tr>
        <w:trPr>
          <w:tblCellSpacing w:w="0" w:type="dxa"/>
          <w:trHeight w:val="580"/>
        </w:trPr>
        <w:tc>
          <w:tcPr>
            <w:tcBorders>
              <w:top w:val="single" w:color="000000" w:sz="4" w:space="0"/>
              <w:left w:val="single" w:color="000000" w:sz="4" w:space="0"/>
              <w:bottom w:val="single" w:color="000000" w:sz="4" w:space="0"/>
              <w:right w:val="single" w:color="000000" w:sz="4" w:space="0"/>
            </w:tcBorders>
            <w:tcW w:w="546" w:type="dxa"/>
            <w:vAlign w:val="center"/>
            <w:textDirection w:val="lrTb"/>
            <w:noWrap w:val="false"/>
          </w:tcPr>
          <w:p>
            <w:pPr>
              <w:pStyle w:val="856"/>
              <w:jc w:val="center"/>
              <w:spacing w:beforeAutospacing="0" w:afterAutospacing="0" w:line="0" w:lineRule="atLeast"/>
            </w:pPr>
            <w:r>
              <w:rPr>
                <w:rFonts w:hint="eastAsia" w:ascii="宋体" w:hAnsi="宋体" w:cs="宋体"/>
                <w:color w:val="000000"/>
              </w:rPr>
              <w:t xml:space="preserve">…</w:t>
            </w:r>
            <w:r/>
          </w:p>
        </w:tc>
        <w:tc>
          <w:tcPr>
            <w:tcBorders>
              <w:top w:val="single" w:color="000000" w:sz="4" w:space="0"/>
              <w:left w:val="single" w:color="000000" w:sz="4" w:space="0"/>
              <w:bottom w:val="single" w:color="000000" w:sz="4" w:space="0"/>
              <w:right w:val="single" w:color="000000" w:sz="4" w:space="0"/>
            </w:tcBorders>
            <w:tcW w:w="996" w:type="dxa"/>
            <w:vAlign w:val="center"/>
            <w:textDirection w:val="lrTb"/>
            <w:noWrap w:val="false"/>
          </w:tcPr>
          <w:p>
            <w:pPr>
              <w:pStyle w:val="856"/>
              <w:jc w:val="both"/>
              <w:spacing w:beforeAutospacing="0" w:afterAutospacing="0" w:line="0" w:lineRule="atLeast"/>
            </w:pPr>
            <w:r>
              <w:rPr>
                <w:rFonts w:hint="eastAsia" w:ascii="宋体" w:hAnsi="宋体" w:cs="宋体"/>
                <w:color w:val="000000"/>
              </w:rPr>
              <w:t xml:space="preserve">……</w:t>
            </w:r>
            <w:r/>
          </w:p>
        </w:tc>
        <w:tc>
          <w:tcPr>
            <w:tcBorders>
              <w:top w:val="single" w:color="000000" w:sz="4" w:space="0"/>
              <w:left w:val="single" w:color="000000" w:sz="4" w:space="0"/>
              <w:bottom w:val="single" w:color="000000" w:sz="4" w:space="0"/>
              <w:right w:val="single" w:color="000000" w:sz="4" w:space="0"/>
            </w:tcBorders>
            <w:tcW w:w="905" w:type="dxa"/>
            <w:vAlign w:val="center"/>
            <w:textDirection w:val="lrTb"/>
            <w:noWrap w:val="false"/>
          </w:tcPr>
          <w:p>
            <w:pPr>
              <w:pStyle w:val="856"/>
              <w:jc w:val="both"/>
              <w:spacing w:beforeAutospacing="0" w:afterAutospacing="0" w:line="0" w:lineRule="atLeast"/>
            </w:pPr>
            <w:r>
              <w:t xml:space="preserve"> </w:t>
            </w:r>
            <w:r/>
          </w:p>
        </w:tc>
        <w:tc>
          <w:tcPr>
            <w:tcBorders>
              <w:top w:val="single" w:color="000000" w:sz="4" w:space="0"/>
              <w:left w:val="single" w:color="000000" w:sz="4" w:space="0"/>
              <w:bottom w:val="single" w:color="000000" w:sz="4" w:space="0"/>
              <w:right w:val="single" w:color="000000" w:sz="4" w:space="0"/>
            </w:tcBorders>
            <w:tcW w:w="1298" w:type="dxa"/>
            <w:vAlign w:val="center"/>
            <w:textDirection w:val="lrTb"/>
            <w:noWrap w:val="false"/>
          </w:tcPr>
          <w:p>
            <w:pPr>
              <w:pStyle w:val="856"/>
              <w:jc w:val="both"/>
              <w:spacing w:beforeAutospacing="0" w:afterAutospacing="0" w:line="0" w:lineRule="atLeast"/>
            </w:pPr>
            <w:r>
              <w:t xml:space="preserve"> </w:t>
            </w:r>
            <w:r/>
          </w:p>
        </w:tc>
        <w:tc>
          <w:tcPr>
            <w:tcBorders>
              <w:top w:val="single" w:color="000000" w:sz="4" w:space="0"/>
              <w:left w:val="single" w:color="000000" w:sz="4" w:space="0"/>
              <w:bottom w:val="single" w:color="000000" w:sz="4" w:space="0"/>
              <w:right w:val="single" w:color="000000" w:sz="4" w:space="0"/>
            </w:tcBorders>
            <w:tcW w:w="746" w:type="dxa"/>
            <w:vAlign w:val="center"/>
            <w:textDirection w:val="lrTb"/>
            <w:noWrap w:val="false"/>
          </w:tcPr>
          <w:p>
            <w:pPr>
              <w:pStyle w:val="856"/>
              <w:jc w:val="both"/>
              <w:spacing w:beforeAutospacing="0" w:afterAutospacing="0" w:line="0" w:lineRule="atLeast"/>
            </w:pPr>
            <w:r>
              <w:t xml:space="preserve"> </w:t>
            </w:r>
            <w:r/>
          </w:p>
        </w:tc>
        <w:tc>
          <w:tcPr>
            <w:tcBorders>
              <w:top w:val="single" w:color="000000" w:sz="4" w:space="0"/>
              <w:left w:val="single" w:color="000000" w:sz="4" w:space="0"/>
              <w:bottom w:val="single" w:color="000000" w:sz="4" w:space="0"/>
              <w:right w:val="single" w:color="000000" w:sz="4" w:space="0"/>
            </w:tcBorders>
            <w:tcW w:w="918" w:type="dxa"/>
            <w:vAlign w:val="center"/>
            <w:textDirection w:val="lrTb"/>
            <w:noWrap w:val="false"/>
          </w:tcPr>
          <w:p>
            <w:pPr>
              <w:pStyle w:val="856"/>
              <w:jc w:val="both"/>
              <w:spacing w:beforeAutospacing="0" w:afterAutospacing="0" w:line="0" w:lineRule="atLeast"/>
            </w:pPr>
            <w:r>
              <w:t xml:space="preserve"> </w:t>
            </w:r>
            <w:r/>
          </w:p>
        </w:tc>
        <w:tc>
          <w:tcPr>
            <w:tcBorders>
              <w:top w:val="single" w:color="000000" w:sz="4" w:space="0"/>
              <w:left w:val="single" w:color="000000" w:sz="4" w:space="0"/>
              <w:bottom w:val="single" w:color="000000" w:sz="4" w:space="0"/>
              <w:right w:val="single" w:color="000000" w:sz="4" w:space="0"/>
            </w:tcBorders>
            <w:tcW w:w="696" w:type="dxa"/>
            <w:vAlign w:val="center"/>
            <w:textDirection w:val="lrTb"/>
            <w:noWrap w:val="false"/>
          </w:tcPr>
          <w:p>
            <w:pPr>
              <w:pStyle w:val="856"/>
              <w:jc w:val="both"/>
              <w:spacing w:beforeAutospacing="0" w:afterAutospacing="0" w:line="0" w:lineRule="atLeast"/>
            </w:pPr>
            <w:r>
              <w:t xml:space="preserve"> </w:t>
            </w:r>
            <w:r/>
          </w:p>
        </w:tc>
        <w:tc>
          <w:tcPr>
            <w:tcBorders>
              <w:top w:val="single" w:color="000000" w:sz="4" w:space="0"/>
              <w:left w:val="single" w:color="000000" w:sz="4" w:space="0"/>
              <w:bottom w:val="single" w:color="000000" w:sz="4" w:space="0"/>
              <w:right w:val="single" w:color="000000" w:sz="4" w:space="0"/>
            </w:tcBorders>
            <w:tcW w:w="1261" w:type="dxa"/>
            <w:vAlign w:val="center"/>
            <w:textDirection w:val="lrTb"/>
            <w:noWrap w:val="false"/>
          </w:tcPr>
          <w:p>
            <w:pPr>
              <w:pStyle w:val="856"/>
              <w:jc w:val="both"/>
              <w:spacing w:beforeAutospacing="0" w:afterAutospacing="0" w:line="0" w:lineRule="atLeast"/>
            </w:pPr>
            <w:r>
              <w:t xml:space="preserve"> </w:t>
            </w:r>
            <w:r/>
          </w:p>
        </w:tc>
        <w:tc>
          <w:tcPr>
            <w:tcBorders>
              <w:top w:val="single" w:color="000000" w:sz="4" w:space="0"/>
              <w:left w:val="single" w:color="000000" w:sz="4" w:space="0"/>
              <w:bottom w:val="single" w:color="000000" w:sz="4" w:space="0"/>
              <w:right w:val="single" w:color="000000" w:sz="4" w:space="0"/>
            </w:tcBorders>
            <w:tcW w:w="1151" w:type="dxa"/>
            <w:vAlign w:val="center"/>
            <w:textDirection w:val="lrTb"/>
            <w:noWrap w:val="false"/>
          </w:tcPr>
          <w:p>
            <w:pPr>
              <w:pStyle w:val="856"/>
              <w:jc w:val="both"/>
              <w:spacing w:beforeAutospacing="0" w:afterAutospacing="0" w:line="0" w:lineRule="atLeast"/>
            </w:pPr>
            <w:r>
              <w:t xml:space="preserve"> </w:t>
            </w:r>
            <w:r/>
          </w:p>
        </w:tc>
      </w:tr>
      <w:tr>
        <w:trPr>
          <w:tblCellSpacing w:w="0" w:type="dxa"/>
          <w:trHeight w:val="1030"/>
        </w:trPr>
        <w:tc>
          <w:tcPr>
            <w:gridSpan w:val="8"/>
            <w:tcBorders>
              <w:top w:val="single" w:color="000000" w:sz="4" w:space="0"/>
              <w:left w:val="single" w:color="000000" w:sz="4" w:space="0"/>
              <w:bottom w:val="single" w:color="000000" w:sz="4" w:space="0"/>
              <w:right w:val="single" w:color="000000" w:sz="4" w:space="0"/>
            </w:tcBorders>
            <w:tcW w:w="7366" w:type="dxa"/>
            <w:vAlign w:val="center"/>
            <w:textDirection w:val="lrTb"/>
            <w:noWrap w:val="false"/>
          </w:tcPr>
          <w:p>
            <w:pPr>
              <w:pStyle w:val="856"/>
              <w:jc w:val="center"/>
              <w:spacing w:beforeAutospacing="0" w:afterAutospacing="0"/>
            </w:pPr>
            <w:r>
              <w:rPr>
                <w:rFonts w:hint="eastAsia" w:ascii="宋体" w:hAnsi="宋体" w:cs="宋体"/>
                <w:color w:val="000000"/>
              </w:rPr>
              <w:t xml:space="preserve">投标总报价（人民币：元）</w:t>
            </w:r>
            <w:r/>
          </w:p>
        </w:tc>
        <w:tc>
          <w:tcPr>
            <w:tcBorders>
              <w:top w:val="single" w:color="000000" w:sz="4" w:space="0"/>
              <w:left w:val="single" w:color="000000" w:sz="4" w:space="0"/>
              <w:bottom w:val="single" w:color="000000" w:sz="4" w:space="0"/>
              <w:right w:val="single" w:color="000000" w:sz="4" w:space="0"/>
            </w:tcBorders>
            <w:tcW w:w="1151" w:type="dxa"/>
            <w:vAlign w:val="center"/>
            <w:textDirection w:val="lrTb"/>
            <w:noWrap w:val="false"/>
          </w:tcPr>
          <w:p>
            <w:pPr>
              <w:pStyle w:val="856"/>
              <w:jc w:val="both"/>
              <w:spacing w:beforeAutospacing="0" w:afterAutospacing="0"/>
            </w:pPr>
            <w:r>
              <w:t xml:space="preserve"> </w:t>
            </w:r>
            <w:r/>
          </w:p>
        </w:tc>
      </w:tr>
    </w:tbl>
    <w:p>
      <w:pPr>
        <w:pStyle w:val="856"/>
        <w:jc w:val="both"/>
        <w:spacing w:beforeAutospacing="0" w:afterAutospacing="0"/>
        <w:rPr>
          <w:rFonts w:hint="eastAsia" w:ascii="宋体" w:hAnsi="宋体" w:cs="宋体"/>
          <w:color w:val="000000"/>
        </w:rPr>
      </w:pPr>
      <w:r>
        <w:rPr>
          <w:rFonts w:hint="eastAsia" w:ascii="宋体" w:hAnsi="宋体" w:cs="宋体"/>
          <w:color w:val="000000"/>
        </w:rPr>
      </w:r>
      <w:r/>
    </w:p>
    <w:p>
      <w:pPr>
        <w:pStyle w:val="856"/>
        <w:jc w:val="both"/>
        <w:spacing w:beforeAutospacing="0" w:afterAutospacing="0" w:line="360" w:lineRule="auto"/>
        <w:rPr>
          <w:rFonts w:hint="eastAsia" w:ascii="宋体" w:hAnsi="宋体" w:cs="宋体"/>
          <w:color w:val="000000"/>
        </w:rPr>
      </w:pPr>
      <w:r>
        <w:rPr>
          <w:rFonts w:hint="eastAsia" w:ascii="宋体" w:hAnsi="宋体" w:cs="宋体"/>
          <w:color w:val="000000"/>
        </w:rPr>
        <w:t xml:space="preserve">备注：1.投标报价采用总承包方式，“投标总报价”应包括所投货物（包含与货物相关的服务）费用、安装调试费、测试验收费、 运行维护费、利润、税收及其他为完成本项目发生的所有费用，供应商综合考虑在投标报价中（招标文件中另有规定的除外）。</w:t>
      </w:r>
      <w:r/>
    </w:p>
    <w:p>
      <w:pPr>
        <w:pStyle w:val="856"/>
        <w:jc w:val="both"/>
        <w:spacing w:beforeAutospacing="0" w:afterAutospacing="0" w:line="360" w:lineRule="auto"/>
      </w:pPr>
      <w:r>
        <w:rPr>
          <w:rFonts w:hint="eastAsia" w:ascii="宋体" w:hAnsi="宋体" w:cs="宋体"/>
          <w:color w:val="000000"/>
        </w:rPr>
        <w:t xml:space="preserve">2.</w:t>
      </w:r>
      <w:r>
        <w:rPr>
          <w:rFonts w:ascii="Times New Roman" w:hAnsi="Times New Roman"/>
          <w:color w:val="000000"/>
          <w:sz w:val="21"/>
          <w:szCs w:val="21"/>
        </w:rPr>
        <w:t xml:space="preserve"> “</w:t>
      </w:r>
      <w:r>
        <w:rPr>
          <w:rFonts w:hint="eastAsia" w:ascii="宋体" w:hAnsi="宋体" w:cs="宋体"/>
          <w:color w:val="000000"/>
        </w:rPr>
        <w:t xml:space="preserve">投标分项报价表</w:t>
      </w:r>
      <w:r>
        <w:rPr>
          <w:rFonts w:ascii="Times New Roman" w:hAnsi="Times New Roman"/>
          <w:color w:val="000000"/>
          <w:sz w:val="21"/>
          <w:szCs w:val="21"/>
        </w:rPr>
        <w:t xml:space="preserve">”</w:t>
      </w:r>
      <w:r>
        <w:rPr>
          <w:rFonts w:hint="eastAsia" w:ascii="宋体" w:hAnsi="宋体" w:cs="宋体"/>
          <w:color w:val="000000"/>
        </w:rPr>
        <w:t xml:space="preserve">中“投标总报价”数额应当与“开标一览表”中“投标总报价”数额一致。</w:t>
      </w:r>
      <w:r/>
    </w:p>
    <w:p>
      <w:pPr>
        <w:spacing w:line="360" w:lineRule="auto"/>
        <w:rPr>
          <w:rFonts w:hint="eastAsia" w:ascii="宋体" w:hAnsi="宋体" w:cs="宋体"/>
          <w:bCs/>
          <w:color w:val="000000"/>
          <w:sz w:val="24"/>
          <w:highlight w:val="yellow"/>
        </w:rPr>
      </w:pPr>
      <w:r>
        <w:rPr>
          <w:rFonts w:hint="eastAsia" w:ascii="宋体" w:hAnsi="宋体" w:cs="宋体"/>
          <w:bCs/>
          <w:color w:val="000000"/>
          <w:sz w:val="24"/>
          <w:highlight w:val="yellow"/>
        </w:rPr>
      </w:r>
      <w:r/>
    </w:p>
    <w:p>
      <w:pPr>
        <w:spacing w:line="360" w:lineRule="auto"/>
        <w:rPr>
          <w:rFonts w:hint="eastAsia" w:ascii="宋体" w:hAnsi="宋体" w:cs="宋体"/>
          <w:bCs/>
          <w:color w:val="000000"/>
          <w:sz w:val="24"/>
        </w:rPr>
      </w:pPr>
      <w:r>
        <w:rPr>
          <w:rFonts w:hint="eastAsia" w:ascii="宋体" w:hAnsi="宋体" w:cs="宋体"/>
          <w:bCs/>
          <w:color w:val="000000"/>
          <w:sz w:val="24"/>
        </w:rPr>
        <w:t xml:space="preserve"> </w:t>
      </w:r>
      <w:r/>
    </w:p>
    <w:p>
      <w:pPr>
        <w:pStyle w:val="856"/>
        <w:ind w:firstLine="480"/>
        <w:jc w:val="both"/>
        <w:spacing w:beforeAutospacing="0" w:afterAutospacing="0" w:line="360" w:lineRule="auto"/>
      </w:pPr>
      <w:r/>
      <w:r/>
    </w:p>
    <w:p>
      <w:pPr>
        <w:pStyle w:val="856"/>
        <w:jc w:val="both"/>
        <w:spacing w:beforeAutospacing="0" w:afterAutospacing="0"/>
        <w:rPr>
          <w:rFonts w:hint="eastAsia" w:ascii="宋体" w:hAnsi="宋体" w:cs="宋体"/>
          <w:color w:val="000000"/>
        </w:rPr>
      </w:pPr>
      <w:r>
        <w:rPr>
          <w:rFonts w:hint="eastAsia" w:ascii="宋体" w:hAnsi="宋体" w:cs="宋体"/>
          <w:color w:val="000000"/>
        </w:rPr>
      </w:r>
      <w:r/>
    </w:p>
    <w:p>
      <w:pPr>
        <w:pStyle w:val="856"/>
        <w:jc w:val="both"/>
        <w:spacing w:beforeAutospacing="0" w:afterAutospacing="0"/>
        <w:rPr>
          <w:rFonts w:hint="eastAsia" w:ascii="宋体" w:hAnsi="宋体" w:cs="宋体"/>
          <w:color w:val="000000"/>
        </w:rPr>
      </w:pPr>
      <w:r>
        <w:rPr>
          <w:rFonts w:hint="eastAsia" w:ascii="宋体" w:hAnsi="宋体" w:cs="宋体"/>
          <w:color w:val="000000"/>
        </w:rPr>
      </w:r>
      <w:r/>
    </w:p>
    <w:p>
      <w:pPr>
        <w:pStyle w:val="856"/>
        <w:ind w:right="180" w:firstLine="360"/>
        <w:jc w:val="right"/>
        <w:spacing w:beforeAutospacing="0" w:afterAutospacing="0" w:line="360" w:lineRule="auto"/>
      </w:pPr>
      <w:r>
        <w:rPr>
          <w:rFonts w:ascii="宋体" w:hAnsi="宋体"/>
        </w:rPr>
        <w:t xml:space="preserve"> </w:t>
      </w:r>
      <w:r>
        <w:rPr>
          <w:rFonts w:hint="eastAsia" w:ascii="宋体" w:hAnsi="宋体" w:cs="宋体"/>
          <w:color w:val="000000"/>
        </w:rPr>
        <w:t xml:space="preserve">企业名称（加盖CA电子公章）：</w:t>
      </w:r>
      <w:r/>
    </w:p>
    <w:p>
      <w:pPr>
        <w:pStyle w:val="856"/>
        <w:ind w:right="480" w:firstLine="5400"/>
        <w:jc w:val="both"/>
        <w:spacing w:beforeAutospacing="0" w:afterAutospacing="0" w:line="360" w:lineRule="auto"/>
      </w:pPr>
      <w:r>
        <w:rPr>
          <w:rFonts w:hint="eastAsia" w:ascii="宋体" w:hAnsi="宋体" w:cs="宋体"/>
          <w:color w:val="000000"/>
        </w:rPr>
        <w:t xml:space="preserve">日  期：</w:t>
      </w:r>
      <w:r/>
    </w:p>
    <w:p>
      <w:pPr>
        <w:pStyle w:val="856"/>
        <w:jc w:val="both"/>
        <w:spacing w:beforeAutospacing="0" w:afterAutospacing="0"/>
        <w:rPr>
          <w:highlight w:val="none"/>
        </w:rPr>
      </w:pPr>
      <w:r>
        <w:rPr>
          <w:highlight w:val="none"/>
        </w:rPr>
        <w:t xml:space="preserve"> </w:t>
      </w:r>
      <w:r/>
    </w:p>
    <w:p>
      <w:pPr>
        <w:pStyle w:val="856"/>
        <w:jc w:val="both"/>
        <w:spacing w:beforeAutospacing="0" w:afterAutospacing="0"/>
        <w:rPr>
          <w:highlight w:val="none"/>
        </w:rPr>
      </w:pPr>
      <w:r>
        <w:rPr>
          <w:highlight w:val="none"/>
        </w:rPr>
        <w:t xml:space="preserve"> </w:t>
      </w:r>
      <w:r/>
    </w:p>
    <w:p>
      <w:pPr>
        <w:pStyle w:val="856"/>
        <w:jc w:val="both"/>
        <w:spacing w:beforeAutospacing="0" w:afterAutospacing="0"/>
        <w:rPr>
          <w:highlight w:val="none"/>
        </w:rPr>
      </w:pPr>
      <w:r>
        <w:rPr>
          <w:highlight w:val="none"/>
        </w:rPr>
        <w:t xml:space="preserve"> </w:t>
      </w:r>
      <w:r/>
    </w:p>
    <w:p>
      <w:pPr>
        <w:pStyle w:val="856"/>
        <w:jc w:val="both"/>
        <w:spacing w:beforeAutospacing="0" w:afterAutospacing="0"/>
        <w:rPr>
          <w:highlight w:val="none"/>
        </w:rPr>
      </w:pPr>
      <w:r>
        <w:rPr>
          <w:highlight w:val="none"/>
        </w:rPr>
      </w:r>
      <w:r/>
    </w:p>
    <w:p>
      <w:pPr>
        <w:pStyle w:val="856"/>
        <w:jc w:val="both"/>
        <w:spacing w:beforeAutospacing="0" w:afterAutospacing="0"/>
        <w:rPr>
          <w:highlight w:val="none"/>
        </w:rPr>
      </w:pPr>
      <w:r>
        <w:rPr>
          <w:highlight w:val="none"/>
        </w:rPr>
      </w:r>
      <w:r/>
    </w:p>
    <w:p>
      <w:pPr>
        <w:pStyle w:val="856"/>
        <w:jc w:val="both"/>
        <w:spacing w:beforeAutospacing="0" w:afterAutospacing="0"/>
        <w:rPr>
          <w:highlight w:val="none"/>
        </w:rPr>
      </w:pPr>
      <w:r>
        <w:rPr>
          <w:highlight w:val="none"/>
        </w:rPr>
      </w:r>
      <w:r/>
    </w:p>
    <w:p>
      <w:pPr>
        <w:pStyle w:val="856"/>
        <w:jc w:val="both"/>
        <w:spacing w:beforeAutospacing="0" w:afterAutospacing="0"/>
        <w:rPr>
          <w:highlight w:val="none"/>
        </w:rPr>
      </w:pPr>
      <w:r>
        <w:rPr>
          <w:highlight w:val="none"/>
        </w:rPr>
      </w:r>
      <w:r/>
    </w:p>
    <w:p>
      <w:pPr>
        <w:pStyle w:val="856"/>
        <w:numPr>
          <w:ilvl w:val="0"/>
          <w:numId w:val="0"/>
        </w:numPr>
        <w:jc w:val="center"/>
        <w:spacing w:beforeAutospacing="0" w:afterAutospacing="0"/>
        <w:rPr>
          <w:rFonts w:hint="eastAsia" w:ascii="黑体" w:hAnsi="宋体" w:eastAsia="黑体" w:cs="黑体"/>
          <w:b w:val="0"/>
          <w:bCs/>
          <w:color w:val="000000"/>
          <w:sz w:val="32"/>
          <w:szCs w:val="32"/>
          <w:highlight w:val="none"/>
        </w:rPr>
      </w:pPr>
      <w:r/>
      <w:bookmarkStart w:id="191" w:name="_Hlt26671374"/>
      <w:r/>
      <w:bookmarkStart w:id="192" w:name="_格式2__法定代表人授权书"/>
      <w:r/>
      <w:bookmarkStart w:id="193" w:name="_Toc462564146"/>
      <w:r/>
      <w:bookmarkStart w:id="194" w:name="_Hlt26609389"/>
      <w:r/>
      <w:bookmarkStart w:id="195" w:name="_Hlt26955054"/>
      <w:r/>
      <w:bookmarkStart w:id="196" w:name="_Hlt26955066"/>
      <w:r>
        <w:rPr>
          <w:rFonts w:hint="eastAsia" w:ascii="黑体" w:hAnsi="宋体" w:eastAsia="黑体" w:cs="黑体"/>
          <w:b w:val="0"/>
          <w:bCs/>
          <w:color w:val="000000"/>
          <w:sz w:val="32"/>
          <w:szCs w:val="32"/>
          <w:lang w:val="en-US" w:eastAsia="zh-CN" w:bidi="ar-SA"/>
        </w:rPr>
        <w:t xml:space="preserve">十三、</w:t>
      </w:r>
      <w:r>
        <w:rPr>
          <w:rFonts w:hint="eastAsia" w:ascii="黑体" w:hAnsi="宋体" w:eastAsia="黑体" w:cs="黑体"/>
          <w:b w:val="0"/>
          <w:bCs/>
          <w:color w:val="000000"/>
          <w:sz w:val="32"/>
          <w:szCs w:val="32"/>
          <w:highlight w:val="none"/>
        </w:rPr>
        <w:t xml:space="preserve">技术要求响应及偏离表</w:t>
      </w:r>
      <w:r/>
    </w:p>
    <w:p>
      <w:pPr>
        <w:pStyle w:val="856"/>
        <w:numPr>
          <w:ilvl w:val="0"/>
          <w:numId w:val="0"/>
        </w:numPr>
        <w:jc w:val="both"/>
        <w:spacing w:beforeAutospacing="0" w:afterAutospacing="0"/>
        <w:rPr>
          <w:rFonts w:hint="eastAsia" w:ascii="黑体" w:hAnsi="宋体" w:eastAsia="黑体" w:cs="黑体"/>
          <w:b/>
          <w:color w:val="000000"/>
          <w:sz w:val="32"/>
          <w:szCs w:val="32"/>
          <w:highlight w:val="none"/>
        </w:rPr>
      </w:pPr>
      <w:r>
        <w:rPr>
          <w:rFonts w:hint="eastAsia" w:ascii="黑体" w:hAnsi="宋体" w:eastAsia="黑体" w:cs="黑体"/>
          <w:b/>
          <w:color w:val="000000"/>
          <w:sz w:val="32"/>
          <w:szCs w:val="32"/>
          <w:highlight w:val="none"/>
        </w:rPr>
      </w:r>
      <w:r/>
    </w:p>
    <w:tbl>
      <w:tblPr>
        <w:tblStyle w:val="848"/>
        <w:tblW w:w="8520" w:type="dxa"/>
        <w:tblCellSpacing w:w="0" w:type="dxa"/>
        <w:tblInd w:w="10" w:type="dxa"/>
        <w:tblLayout w:type="fixed"/>
        <w:tblCellMar>
          <w:left w:w="108" w:type="dxa"/>
          <w:top w:w="0" w:type="dxa"/>
          <w:right w:w="108" w:type="dxa"/>
          <w:bottom w:w="0" w:type="dxa"/>
        </w:tblCellMar>
        <w:tblLook w:val="04A0" w:firstRow="1" w:lastRow="0" w:firstColumn="1" w:lastColumn="0" w:noHBand="0" w:noVBand="1"/>
      </w:tblPr>
      <w:tblGrid>
        <w:gridCol w:w="538"/>
        <w:gridCol w:w="3026"/>
        <w:gridCol w:w="2608"/>
        <w:gridCol w:w="1247"/>
        <w:gridCol w:w="1101"/>
      </w:tblGrid>
      <w:tr>
        <w:trPr>
          <w:tblCellSpacing w:w="0" w:type="dxa"/>
        </w:trPr>
        <w:tc>
          <w:tcPr>
            <w:shd w:val="clear" w:color="auto" w:fill="auto"/>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856"/>
              <w:jc w:val="center"/>
              <w:spacing w:beforeAutospacing="0" w:afterAutospacing="0"/>
              <w:rPr>
                <w:highlight w:val="none"/>
              </w:rPr>
            </w:pPr>
            <w:r>
              <w:rPr>
                <w:rFonts w:hint="eastAsia" w:ascii="宋体" w:hAnsi="宋体" w:eastAsia="宋体" w:cs="宋体"/>
                <w:color w:val="000000"/>
                <w:highlight w:val="none"/>
              </w:rPr>
              <w:t xml:space="preserve">序号</w:t>
            </w:r>
            <w:r/>
          </w:p>
        </w:tc>
        <w:tc>
          <w:tcPr>
            <w:shd w:val="clear" w:color="auto" w:fill="auto"/>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856"/>
              <w:jc w:val="center"/>
              <w:spacing w:beforeAutospacing="0" w:afterAutospacing="0"/>
              <w:rPr>
                <w:highlight w:val="none"/>
              </w:rPr>
            </w:pPr>
            <w:r>
              <w:rPr>
                <w:rFonts w:hint="eastAsia" w:ascii="宋体" w:hAnsi="宋体" w:eastAsia="宋体" w:cs="宋体"/>
                <w:color w:val="000000"/>
                <w:highlight w:val="none"/>
              </w:rPr>
              <w:t xml:space="preserve">招标文件要求</w:t>
            </w:r>
            <w:r/>
          </w:p>
        </w:tc>
        <w:tc>
          <w:tcPr>
            <w:shd w:val="clear" w:color="auto" w:fill="auto"/>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856"/>
              <w:jc w:val="center"/>
              <w:spacing w:beforeAutospacing="0" w:afterAutospacing="0"/>
              <w:rPr>
                <w:highlight w:val="none"/>
              </w:rPr>
            </w:pPr>
            <w:r>
              <w:rPr>
                <w:rFonts w:hint="eastAsia" w:ascii="宋体" w:hAnsi="宋体" w:eastAsia="宋体" w:cs="宋体"/>
                <w:color w:val="000000"/>
                <w:highlight w:val="none"/>
              </w:rPr>
              <w:t xml:space="preserve">投标响应情况</w:t>
            </w:r>
            <w:r/>
          </w:p>
        </w:tc>
        <w:tc>
          <w:tcPr>
            <w:shd w:val="clear" w:color="auto" w:fill="auto"/>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856"/>
              <w:jc w:val="center"/>
              <w:spacing w:beforeAutospacing="0" w:afterAutospacing="0"/>
              <w:rPr>
                <w:highlight w:val="none"/>
              </w:rPr>
            </w:pPr>
            <w:r>
              <w:rPr>
                <w:rFonts w:hint="eastAsia" w:ascii="宋体" w:hAnsi="宋体" w:eastAsia="宋体" w:cs="宋体"/>
                <w:color w:val="000000"/>
                <w:highlight w:val="none"/>
              </w:rPr>
              <w:t xml:space="preserve">超出、符合或偏离</w:t>
            </w:r>
            <w:r/>
          </w:p>
        </w:tc>
        <w:tc>
          <w:tcPr>
            <w:shd w:val="clear" w:color="auto" w:fill="auto"/>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856"/>
              <w:jc w:val="center"/>
              <w:spacing w:beforeAutospacing="0" w:afterAutospacing="0"/>
              <w:rPr>
                <w:highlight w:val="none"/>
              </w:rPr>
            </w:pPr>
            <w:r>
              <w:rPr>
                <w:rFonts w:hint="eastAsia" w:ascii="宋体" w:hAnsi="宋体" w:eastAsia="宋体" w:cs="宋体"/>
                <w:color w:val="000000"/>
                <w:highlight w:val="none"/>
              </w:rPr>
              <w:t xml:space="preserve">证明</w:t>
            </w:r>
            <w:r/>
          </w:p>
          <w:p>
            <w:pPr>
              <w:pStyle w:val="856"/>
              <w:jc w:val="center"/>
              <w:spacing w:beforeAutospacing="0" w:afterAutospacing="0"/>
              <w:rPr>
                <w:highlight w:val="none"/>
              </w:rPr>
            </w:pPr>
            <w:r>
              <w:rPr>
                <w:rFonts w:hint="eastAsia" w:ascii="宋体" w:hAnsi="宋体" w:eastAsia="宋体" w:cs="宋体"/>
                <w:color w:val="000000"/>
                <w:highlight w:val="none"/>
              </w:rPr>
              <w:t xml:space="preserve">材料</w:t>
            </w:r>
            <w:r/>
          </w:p>
        </w:tc>
      </w:tr>
      <w:tr>
        <w:trP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856"/>
              <w:jc w:val="center"/>
              <w:spacing w:beforeAutospacing="0" w:afterAutospacing="0"/>
              <w:rPr>
                <w:highlight w:val="none"/>
              </w:rPr>
            </w:pPr>
            <w:r>
              <w:rPr>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856"/>
              <w:jc w:val="center"/>
              <w:spacing w:beforeAutospacing="0" w:afterAutospacing="0"/>
              <w:rPr>
                <w:highlight w:val="none"/>
              </w:rPr>
            </w:pPr>
            <w:r>
              <w:rPr>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856"/>
              <w:jc w:val="center"/>
              <w:spacing w:beforeAutospacing="0" w:afterAutospacing="0"/>
              <w:rPr>
                <w:highlight w:val="none"/>
              </w:rPr>
            </w:pPr>
            <w:r>
              <w:rPr>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856"/>
              <w:jc w:val="center"/>
              <w:spacing w:beforeAutospacing="0" w:afterAutospacing="0"/>
              <w:rPr>
                <w:highlight w:val="none"/>
              </w:rPr>
            </w:pPr>
            <w:r>
              <w:rPr>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856"/>
              <w:jc w:val="center"/>
              <w:spacing w:beforeAutospacing="0" w:afterAutospacing="0"/>
              <w:rPr>
                <w:highlight w:val="none"/>
              </w:rPr>
            </w:pPr>
            <w:r>
              <w:rPr>
                <w:highlight w:val="none"/>
              </w:rPr>
              <w:t xml:space="preserve"> </w:t>
            </w:r>
            <w:r/>
          </w:p>
        </w:tc>
      </w:tr>
      <w:tr>
        <w:trP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856"/>
              <w:jc w:val="center"/>
              <w:spacing w:beforeAutospacing="0" w:afterAutospacing="0"/>
              <w:rPr>
                <w:highlight w:val="none"/>
              </w:rPr>
            </w:pPr>
            <w:r>
              <w:rPr>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856"/>
              <w:jc w:val="center"/>
              <w:spacing w:beforeAutospacing="0" w:afterAutospacing="0"/>
              <w:rPr>
                <w:highlight w:val="none"/>
              </w:rPr>
            </w:pPr>
            <w:r>
              <w:rPr>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856"/>
              <w:jc w:val="center"/>
              <w:spacing w:beforeAutospacing="0" w:afterAutospacing="0"/>
              <w:rPr>
                <w:highlight w:val="none"/>
              </w:rPr>
            </w:pPr>
            <w:r>
              <w:rPr>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856"/>
              <w:jc w:val="center"/>
              <w:spacing w:beforeAutospacing="0" w:afterAutospacing="0"/>
              <w:rPr>
                <w:highlight w:val="none"/>
              </w:rPr>
            </w:pPr>
            <w:r>
              <w:rPr>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856"/>
              <w:jc w:val="center"/>
              <w:spacing w:beforeAutospacing="0" w:afterAutospacing="0"/>
              <w:rPr>
                <w:highlight w:val="none"/>
              </w:rPr>
            </w:pPr>
            <w:r>
              <w:rPr>
                <w:highlight w:val="none"/>
              </w:rPr>
              <w:t xml:space="preserve"> </w:t>
            </w:r>
            <w:r/>
          </w:p>
        </w:tc>
      </w:tr>
      <w:tr>
        <w:trP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856"/>
              <w:jc w:val="center"/>
              <w:spacing w:beforeAutospacing="0" w:afterAutospacing="0"/>
              <w:rPr>
                <w:highlight w:val="none"/>
              </w:rPr>
            </w:pPr>
            <w:r>
              <w:rPr>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856"/>
              <w:jc w:val="center"/>
              <w:spacing w:beforeAutospacing="0" w:afterAutospacing="0"/>
              <w:rPr>
                <w:highlight w:val="none"/>
              </w:rPr>
            </w:pPr>
            <w:r>
              <w:rPr>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856"/>
              <w:jc w:val="center"/>
              <w:spacing w:beforeAutospacing="0" w:afterAutospacing="0"/>
              <w:rPr>
                <w:highlight w:val="none"/>
              </w:rPr>
            </w:pPr>
            <w:r>
              <w:rPr>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856"/>
              <w:jc w:val="center"/>
              <w:spacing w:beforeAutospacing="0" w:afterAutospacing="0"/>
              <w:rPr>
                <w:highlight w:val="none"/>
              </w:rPr>
            </w:pPr>
            <w:r>
              <w:rPr>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856"/>
              <w:jc w:val="center"/>
              <w:spacing w:beforeAutospacing="0" w:afterAutospacing="0"/>
              <w:rPr>
                <w:highlight w:val="none"/>
              </w:rPr>
            </w:pPr>
            <w:r>
              <w:rPr>
                <w:highlight w:val="none"/>
              </w:rPr>
              <w:t xml:space="preserve"> </w:t>
            </w:r>
            <w:r/>
          </w:p>
        </w:tc>
      </w:tr>
      <w:tr>
        <w:trP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856"/>
              <w:jc w:val="center"/>
              <w:spacing w:beforeAutospacing="0" w:afterAutospacing="0"/>
              <w:rPr>
                <w:highlight w:val="none"/>
              </w:rPr>
            </w:pPr>
            <w:r>
              <w:rPr>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856"/>
              <w:jc w:val="center"/>
              <w:spacing w:beforeAutospacing="0" w:afterAutospacing="0"/>
              <w:rPr>
                <w:highlight w:val="none"/>
              </w:rPr>
            </w:pPr>
            <w:r>
              <w:rPr>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856"/>
              <w:jc w:val="center"/>
              <w:spacing w:beforeAutospacing="0" w:afterAutospacing="0"/>
              <w:rPr>
                <w:highlight w:val="none"/>
              </w:rPr>
            </w:pPr>
            <w:r>
              <w:rPr>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856"/>
              <w:jc w:val="center"/>
              <w:spacing w:beforeAutospacing="0" w:afterAutospacing="0"/>
              <w:rPr>
                <w:highlight w:val="none"/>
              </w:rPr>
            </w:pPr>
            <w:r>
              <w:rPr>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856"/>
              <w:jc w:val="center"/>
              <w:spacing w:beforeAutospacing="0" w:afterAutospacing="0"/>
              <w:rPr>
                <w:highlight w:val="none"/>
              </w:rPr>
            </w:pPr>
            <w:r>
              <w:rPr>
                <w:highlight w:val="none"/>
              </w:rPr>
              <w:t xml:space="preserve"> </w:t>
            </w:r>
            <w:r/>
          </w:p>
        </w:tc>
      </w:tr>
      <w:tr>
        <w:trP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856"/>
              <w:jc w:val="center"/>
              <w:spacing w:beforeAutospacing="0" w:afterAutospacing="0"/>
              <w:rPr>
                <w:highlight w:val="none"/>
              </w:rPr>
            </w:pPr>
            <w:r>
              <w:rPr>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856"/>
              <w:jc w:val="center"/>
              <w:spacing w:beforeAutospacing="0" w:afterAutospacing="0"/>
              <w:rPr>
                <w:highlight w:val="none"/>
              </w:rPr>
            </w:pPr>
            <w:r>
              <w:rPr>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856"/>
              <w:jc w:val="center"/>
              <w:spacing w:beforeAutospacing="0" w:afterAutospacing="0"/>
              <w:rPr>
                <w:highlight w:val="none"/>
              </w:rPr>
            </w:pPr>
            <w:r>
              <w:rPr>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856"/>
              <w:jc w:val="center"/>
              <w:spacing w:beforeAutospacing="0" w:afterAutospacing="0"/>
              <w:rPr>
                <w:highlight w:val="none"/>
              </w:rPr>
            </w:pPr>
            <w:r>
              <w:rPr>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856"/>
              <w:jc w:val="center"/>
              <w:spacing w:beforeAutospacing="0" w:afterAutospacing="0"/>
              <w:rPr>
                <w:highlight w:val="none"/>
              </w:rPr>
            </w:pPr>
            <w:r>
              <w:rPr>
                <w:highlight w:val="none"/>
              </w:rPr>
              <w:t xml:space="preserve"> </w:t>
            </w:r>
            <w:r/>
          </w:p>
        </w:tc>
      </w:tr>
      <w:tr>
        <w:trP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856"/>
              <w:jc w:val="center"/>
              <w:spacing w:beforeAutospacing="0" w:afterAutospacing="0"/>
              <w:rPr>
                <w:highlight w:val="none"/>
              </w:rPr>
            </w:pPr>
            <w:r>
              <w:rPr>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856"/>
              <w:jc w:val="center"/>
              <w:spacing w:beforeAutospacing="0" w:afterAutospacing="0"/>
              <w:rPr>
                <w:highlight w:val="none"/>
              </w:rPr>
            </w:pPr>
            <w:r>
              <w:rPr>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856"/>
              <w:jc w:val="center"/>
              <w:spacing w:beforeAutospacing="0" w:afterAutospacing="0"/>
              <w:rPr>
                <w:highlight w:val="none"/>
              </w:rPr>
            </w:pPr>
            <w:r>
              <w:rPr>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856"/>
              <w:jc w:val="center"/>
              <w:spacing w:beforeAutospacing="0" w:afterAutospacing="0"/>
              <w:rPr>
                <w:highlight w:val="none"/>
              </w:rPr>
            </w:pPr>
            <w:r>
              <w:rPr>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856"/>
              <w:jc w:val="center"/>
              <w:spacing w:beforeAutospacing="0" w:afterAutospacing="0"/>
              <w:rPr>
                <w:highlight w:val="none"/>
              </w:rPr>
            </w:pPr>
            <w:r>
              <w:rPr>
                <w:highlight w:val="none"/>
              </w:rPr>
              <w:t xml:space="preserve"> </w:t>
            </w:r>
            <w:r/>
          </w:p>
        </w:tc>
      </w:tr>
      <w:tr>
        <w:trP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856"/>
              <w:jc w:val="center"/>
              <w:spacing w:beforeAutospacing="0" w:afterAutospacing="0"/>
              <w:rPr>
                <w:highlight w:val="none"/>
              </w:rPr>
            </w:pPr>
            <w:r>
              <w:rPr>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856"/>
              <w:jc w:val="center"/>
              <w:spacing w:beforeAutospacing="0" w:afterAutospacing="0"/>
              <w:rPr>
                <w:highlight w:val="none"/>
              </w:rPr>
            </w:pPr>
            <w:r>
              <w:rPr>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856"/>
              <w:jc w:val="center"/>
              <w:spacing w:beforeAutospacing="0" w:afterAutospacing="0"/>
              <w:rPr>
                <w:highlight w:val="none"/>
              </w:rPr>
            </w:pPr>
            <w:r>
              <w:rPr>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856"/>
              <w:jc w:val="center"/>
              <w:spacing w:beforeAutospacing="0" w:afterAutospacing="0"/>
              <w:rPr>
                <w:highlight w:val="none"/>
              </w:rPr>
            </w:pPr>
            <w:r>
              <w:rPr>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856"/>
              <w:jc w:val="center"/>
              <w:spacing w:beforeAutospacing="0" w:afterAutospacing="0"/>
              <w:rPr>
                <w:highlight w:val="none"/>
              </w:rPr>
            </w:pPr>
            <w:r>
              <w:rPr>
                <w:highlight w:val="none"/>
              </w:rPr>
              <w:t xml:space="preserve"> </w:t>
            </w:r>
            <w:r/>
          </w:p>
        </w:tc>
      </w:tr>
      <w:tr>
        <w:trP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856"/>
              <w:jc w:val="center"/>
              <w:spacing w:beforeAutospacing="0" w:afterAutospacing="0"/>
              <w:rPr>
                <w:highlight w:val="none"/>
              </w:rPr>
            </w:pPr>
            <w:r>
              <w:rPr>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856"/>
              <w:jc w:val="center"/>
              <w:spacing w:beforeAutospacing="0" w:afterAutospacing="0"/>
              <w:rPr>
                <w:highlight w:val="none"/>
              </w:rPr>
            </w:pPr>
            <w:r>
              <w:rPr>
                <w:rFonts w:hint="eastAsia" w:ascii="宋体" w:hAnsi="宋体" w:eastAsia="宋体" w:cs="宋体"/>
                <w:color w:val="000000"/>
                <w:highlight w:val="none"/>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856"/>
              <w:jc w:val="center"/>
              <w:spacing w:beforeAutospacing="0" w:afterAutospacing="0"/>
              <w:rPr>
                <w:highlight w:val="none"/>
              </w:rPr>
            </w:pPr>
            <w:r>
              <w:rPr>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856"/>
              <w:jc w:val="center"/>
              <w:spacing w:beforeAutospacing="0" w:afterAutospacing="0"/>
              <w:rPr>
                <w:highlight w:val="none"/>
              </w:rPr>
            </w:pPr>
            <w:r>
              <w:rPr>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856"/>
              <w:jc w:val="center"/>
              <w:spacing w:beforeAutospacing="0" w:afterAutospacing="0"/>
              <w:rPr>
                <w:highlight w:val="none"/>
              </w:rPr>
            </w:pPr>
            <w:r>
              <w:rPr>
                <w:highlight w:val="none"/>
              </w:rPr>
              <w:t xml:space="preserve"> </w:t>
            </w:r>
            <w:r/>
          </w:p>
        </w:tc>
      </w:tr>
    </w:tbl>
    <w:p>
      <w:pPr>
        <w:pStyle w:val="856"/>
        <w:jc w:val="both"/>
        <w:spacing w:beforeAutospacing="0" w:afterAutospacing="0"/>
        <w:rPr>
          <w:highlight w:val="none"/>
        </w:rPr>
      </w:pPr>
      <w:r>
        <w:rPr>
          <w:rFonts w:hint="eastAsia" w:ascii="宋体" w:hAnsi="宋体" w:eastAsia="宋体" w:cs="宋体"/>
          <w:color w:val="000000"/>
          <w:highlight w:val="none"/>
        </w:rPr>
        <w:t xml:space="preserve">注： 行数不够，可自行添加。</w:t>
      </w:r>
      <w:r/>
    </w:p>
    <w:p>
      <w:pPr>
        <w:pStyle w:val="856"/>
        <w:jc w:val="center"/>
        <w:spacing w:beforeAutospacing="0" w:afterAutospacing="0"/>
        <w:rPr>
          <w:highlight w:val="none"/>
        </w:rPr>
      </w:pPr>
      <w:r>
        <w:rPr>
          <w:highlight w:val="none"/>
        </w:rPr>
        <w:t xml:space="preserve"> </w:t>
      </w:r>
      <w:r/>
    </w:p>
    <w:p>
      <w:pPr>
        <w:pStyle w:val="856"/>
        <w:jc w:val="center"/>
        <w:spacing w:beforeAutospacing="0" w:afterAutospacing="0"/>
        <w:rPr>
          <w:highlight w:val="none"/>
        </w:rPr>
      </w:pPr>
      <w:r>
        <w:rPr>
          <w:highlight w:val="none"/>
        </w:rPr>
        <w:t xml:space="preserve"> </w:t>
      </w:r>
      <w:r/>
    </w:p>
    <w:p>
      <w:pPr>
        <w:pStyle w:val="856"/>
        <w:jc w:val="center"/>
        <w:spacing w:beforeAutospacing="0" w:afterAutospacing="0"/>
        <w:rPr>
          <w:highlight w:val="none"/>
        </w:rPr>
      </w:pPr>
      <w:r>
        <w:rPr>
          <w:highlight w:val="none"/>
        </w:rPr>
        <w:t xml:space="preserve"> </w:t>
      </w:r>
      <w:r/>
    </w:p>
    <w:p>
      <w:pPr>
        <w:pStyle w:val="856"/>
        <w:jc w:val="center"/>
        <w:spacing w:beforeAutospacing="0" w:afterAutospacing="0"/>
        <w:rPr>
          <w:highlight w:val="none"/>
        </w:rPr>
      </w:pPr>
      <w:r>
        <w:rPr>
          <w:highlight w:val="none"/>
        </w:rPr>
        <w:t xml:space="preserve"> </w:t>
      </w:r>
      <w:r/>
    </w:p>
    <w:p>
      <w:pPr>
        <w:pStyle w:val="856"/>
        <w:jc w:val="both"/>
        <w:spacing w:beforeAutospacing="0" w:afterAutospacing="0"/>
        <w:rPr>
          <w:highlight w:val="none"/>
        </w:rPr>
      </w:pPr>
      <w:r>
        <w:rPr>
          <w:highlight w:val="none"/>
        </w:rPr>
        <w:t xml:space="preserve"> </w:t>
      </w:r>
      <w:r/>
    </w:p>
    <w:p>
      <w:pPr>
        <w:pStyle w:val="856"/>
        <w:jc w:val="both"/>
        <w:spacing w:beforeAutospacing="0" w:afterAutospacing="0"/>
        <w:rPr>
          <w:highlight w:val="none"/>
        </w:rPr>
      </w:pPr>
      <w:r>
        <w:rPr>
          <w:highlight w:val="none"/>
        </w:rPr>
        <w:t xml:space="preserve"> </w:t>
      </w:r>
      <w:r/>
    </w:p>
    <w:p>
      <w:pPr>
        <w:pStyle w:val="856"/>
        <w:jc w:val="both"/>
        <w:spacing w:beforeAutospacing="0" w:afterAutospacing="0"/>
        <w:rPr>
          <w:highlight w:val="none"/>
        </w:rPr>
      </w:pPr>
      <w:r>
        <w:rPr>
          <w:highlight w:val="none"/>
        </w:rPr>
        <w:t xml:space="preserve"> </w:t>
      </w:r>
      <w:r/>
    </w:p>
    <w:p>
      <w:pPr>
        <w:pStyle w:val="856"/>
        <w:jc w:val="both"/>
        <w:spacing w:beforeAutospacing="0" w:afterAutospacing="0"/>
        <w:rPr>
          <w:highlight w:val="none"/>
        </w:rPr>
      </w:pPr>
      <w:r>
        <w:rPr>
          <w:highlight w:val="none"/>
        </w:rPr>
        <w:t xml:space="preserve"> </w:t>
      </w:r>
      <w:r/>
    </w:p>
    <w:p>
      <w:pPr>
        <w:pStyle w:val="856"/>
        <w:jc w:val="both"/>
        <w:spacing w:beforeAutospacing="0" w:afterAutospacing="0"/>
        <w:rPr>
          <w:highlight w:val="none"/>
        </w:rPr>
      </w:pPr>
      <w:r>
        <w:rPr>
          <w:highlight w:val="none"/>
        </w:rPr>
      </w:r>
      <w:r/>
    </w:p>
    <w:p>
      <w:pPr>
        <w:pStyle w:val="856"/>
        <w:jc w:val="both"/>
        <w:spacing w:beforeAutospacing="0" w:afterAutospacing="0"/>
        <w:rPr>
          <w:highlight w:val="none"/>
        </w:rPr>
      </w:pPr>
      <w:r>
        <w:rPr>
          <w:highlight w:val="none"/>
        </w:rPr>
      </w:r>
      <w:r/>
    </w:p>
    <w:p>
      <w:pPr>
        <w:pStyle w:val="856"/>
        <w:jc w:val="both"/>
        <w:spacing w:beforeAutospacing="0" w:afterAutospacing="0"/>
        <w:rPr>
          <w:highlight w:val="none"/>
        </w:rPr>
      </w:pPr>
      <w:r>
        <w:rPr>
          <w:highlight w:val="none"/>
        </w:rPr>
      </w:r>
      <w:r/>
    </w:p>
    <w:p>
      <w:pPr>
        <w:pStyle w:val="856"/>
        <w:jc w:val="both"/>
        <w:spacing w:beforeAutospacing="0" w:afterAutospacing="0"/>
        <w:rPr>
          <w:highlight w:val="none"/>
        </w:rPr>
      </w:pPr>
      <w:r>
        <w:rPr>
          <w:highlight w:val="none"/>
        </w:rPr>
      </w:r>
      <w:r/>
    </w:p>
    <w:p>
      <w:pPr>
        <w:pStyle w:val="856"/>
        <w:jc w:val="both"/>
        <w:spacing w:beforeAutospacing="0" w:afterAutospacing="0"/>
        <w:rPr>
          <w:highlight w:val="none"/>
        </w:rPr>
      </w:pPr>
      <w:r>
        <w:rPr>
          <w:highlight w:val="none"/>
        </w:rPr>
      </w:r>
      <w:r/>
    </w:p>
    <w:p>
      <w:pPr>
        <w:pStyle w:val="856"/>
        <w:jc w:val="both"/>
        <w:spacing w:beforeAutospacing="0" w:afterAutospacing="0"/>
        <w:rPr>
          <w:highlight w:val="none"/>
        </w:rPr>
      </w:pPr>
      <w:r>
        <w:rPr>
          <w:highlight w:val="none"/>
        </w:rPr>
      </w:r>
      <w:r/>
    </w:p>
    <w:p>
      <w:pPr>
        <w:pStyle w:val="856"/>
        <w:jc w:val="both"/>
        <w:spacing w:beforeAutospacing="0" w:afterAutospacing="0"/>
        <w:rPr>
          <w:highlight w:val="none"/>
        </w:rPr>
      </w:pPr>
      <w:r>
        <w:rPr>
          <w:highlight w:val="none"/>
        </w:rPr>
      </w:r>
      <w:r/>
    </w:p>
    <w:p>
      <w:pPr>
        <w:pStyle w:val="856"/>
        <w:jc w:val="both"/>
        <w:spacing w:beforeAutospacing="0" w:afterAutospacing="0"/>
        <w:rPr>
          <w:highlight w:val="none"/>
        </w:rPr>
      </w:pPr>
      <w:r>
        <w:rPr>
          <w:highlight w:val="none"/>
        </w:rPr>
      </w:r>
      <w:r/>
    </w:p>
    <w:p>
      <w:pPr>
        <w:pStyle w:val="856"/>
        <w:jc w:val="both"/>
        <w:spacing w:beforeAutospacing="0" w:afterAutospacing="0"/>
        <w:rPr>
          <w:highlight w:val="none"/>
        </w:rPr>
      </w:pPr>
      <w:r>
        <w:rPr>
          <w:highlight w:val="none"/>
        </w:rPr>
      </w:r>
      <w:r/>
    </w:p>
    <w:p>
      <w:pPr>
        <w:pStyle w:val="856"/>
        <w:jc w:val="both"/>
        <w:spacing w:beforeAutospacing="0" w:afterAutospacing="0"/>
        <w:rPr>
          <w:highlight w:val="none"/>
        </w:rPr>
      </w:pPr>
      <w:r>
        <w:rPr>
          <w:highlight w:val="none"/>
        </w:rPr>
      </w:r>
      <w:r/>
    </w:p>
    <w:p>
      <w:pPr>
        <w:pStyle w:val="856"/>
        <w:jc w:val="both"/>
        <w:spacing w:beforeAutospacing="0" w:afterAutospacing="0"/>
        <w:rPr>
          <w:highlight w:val="none"/>
        </w:rPr>
      </w:pPr>
      <w:r>
        <w:rPr>
          <w:highlight w:val="none"/>
        </w:rPr>
      </w:r>
      <w:r/>
    </w:p>
    <w:p>
      <w:pPr>
        <w:pStyle w:val="856"/>
        <w:jc w:val="both"/>
        <w:spacing w:beforeAutospacing="0" w:afterAutospacing="0"/>
        <w:rPr>
          <w:highlight w:val="none"/>
        </w:rPr>
      </w:pPr>
      <w:r>
        <w:rPr>
          <w:highlight w:val="none"/>
        </w:rPr>
        <w:t xml:space="preserve"> </w:t>
      </w:r>
      <w:r/>
    </w:p>
    <w:p>
      <w:pPr>
        <w:pStyle w:val="856"/>
        <w:numPr>
          <w:ilvl w:val="0"/>
          <w:numId w:val="0"/>
        </w:numPr>
        <w:jc w:val="center"/>
        <w:spacing w:beforeAutospacing="0" w:afterAutospacing="0"/>
        <w:rPr>
          <w:rFonts w:hint="eastAsia" w:ascii="黑体" w:hAnsi="宋体" w:eastAsia="黑体" w:cs="黑体"/>
          <w:b w:val="0"/>
          <w:bCs/>
          <w:color w:val="000000"/>
          <w:sz w:val="32"/>
          <w:szCs w:val="32"/>
          <w:highlight w:val="none"/>
        </w:rPr>
      </w:pPr>
      <w:r>
        <w:rPr>
          <w:rFonts w:hint="eastAsia" w:ascii="黑体" w:hAnsi="宋体" w:eastAsia="黑体" w:cs="黑体"/>
          <w:b w:val="0"/>
          <w:bCs/>
          <w:color w:val="000000"/>
          <w:sz w:val="32"/>
          <w:szCs w:val="32"/>
          <w:lang w:val="en-US" w:eastAsia="zh-CN" w:bidi="ar-SA"/>
        </w:rPr>
        <w:t xml:space="preserve">十四、</w:t>
      </w:r>
      <w:r>
        <w:rPr>
          <w:rFonts w:hint="eastAsia" w:ascii="黑体" w:hAnsi="宋体" w:eastAsia="黑体" w:cs="黑体"/>
          <w:b w:val="0"/>
          <w:bCs/>
          <w:color w:val="000000"/>
          <w:sz w:val="32"/>
          <w:szCs w:val="32"/>
          <w:highlight w:val="none"/>
        </w:rPr>
        <w:t xml:space="preserve">商务要求响应及偏离表</w:t>
      </w:r>
      <w:r/>
    </w:p>
    <w:p>
      <w:pPr>
        <w:pStyle w:val="856"/>
        <w:numPr>
          <w:ilvl w:val="0"/>
          <w:numId w:val="0"/>
        </w:numPr>
        <w:jc w:val="both"/>
        <w:spacing w:beforeAutospacing="0" w:afterAutospacing="0"/>
        <w:rPr>
          <w:rFonts w:hint="eastAsia" w:ascii="黑体" w:hAnsi="宋体" w:eastAsia="黑体" w:cs="黑体"/>
          <w:b/>
          <w:color w:val="000000"/>
          <w:sz w:val="32"/>
          <w:szCs w:val="32"/>
          <w:highlight w:val="none"/>
        </w:rPr>
      </w:pPr>
      <w:r>
        <w:rPr>
          <w:rFonts w:hint="eastAsia" w:ascii="黑体" w:hAnsi="宋体" w:eastAsia="黑体" w:cs="黑体"/>
          <w:b/>
          <w:color w:val="000000"/>
          <w:sz w:val="32"/>
          <w:szCs w:val="32"/>
          <w:highlight w:val="none"/>
        </w:rPr>
      </w:r>
      <w:r/>
    </w:p>
    <w:tbl>
      <w:tblPr>
        <w:tblStyle w:val="848"/>
        <w:tblW w:w="8520" w:type="dxa"/>
        <w:tblCellSpacing w:w="0" w:type="dxa"/>
        <w:tblInd w:w="10" w:type="dxa"/>
        <w:tblLayout w:type="fixed"/>
        <w:tblCellMar>
          <w:left w:w="108" w:type="dxa"/>
          <w:top w:w="0" w:type="dxa"/>
          <w:right w:w="108" w:type="dxa"/>
          <w:bottom w:w="0" w:type="dxa"/>
        </w:tblCellMar>
        <w:tblLook w:val="04A0" w:firstRow="1" w:lastRow="0" w:firstColumn="1" w:lastColumn="0" w:noHBand="0" w:noVBand="1"/>
      </w:tblPr>
      <w:tblGrid>
        <w:gridCol w:w="661"/>
        <w:gridCol w:w="2469"/>
        <w:gridCol w:w="2645"/>
        <w:gridCol w:w="1244"/>
        <w:gridCol w:w="1501"/>
      </w:tblGrid>
      <w:tr>
        <w:trPr>
          <w:tblCellSpacing w:w="0" w:type="dxa"/>
        </w:trPr>
        <w:tc>
          <w:tcPr>
            <w:shd w:val="clear" w:color="auto" w:fill="auto"/>
            <w:tcBorders>
              <w:top w:val="single" w:color="000000" w:sz="4" w:space="0"/>
              <w:left w:val="single" w:color="000000" w:sz="4" w:space="0"/>
              <w:bottom w:val="single" w:color="000000" w:sz="4" w:space="0"/>
              <w:right w:val="single" w:color="000000" w:sz="4" w:space="0"/>
            </w:tcBorders>
            <w:tcW w:w="661" w:type="dxa"/>
            <w:vAlign w:val="center"/>
            <w:textDirection w:val="lrTb"/>
            <w:noWrap w:val="false"/>
          </w:tcPr>
          <w:p>
            <w:pPr>
              <w:pStyle w:val="856"/>
              <w:jc w:val="center"/>
              <w:spacing w:beforeAutospacing="0" w:afterAutospacing="0"/>
              <w:rPr>
                <w:highlight w:val="none"/>
              </w:rPr>
            </w:pPr>
            <w:r/>
            <w:bookmarkStart w:id="197" w:name="_Hlt26955056"/>
            <w:r/>
            <w:bookmarkStart w:id="198" w:name="_Hlt26609391"/>
            <w:r/>
            <w:bookmarkStart w:id="199" w:name="_Hlt24879081"/>
            <w:r/>
            <w:bookmarkStart w:id="200" w:name="_Hlt26671372"/>
            <w:r/>
            <w:bookmarkStart w:id="201" w:name="_Hlt26782999"/>
            <w:r/>
            <w:bookmarkStart w:id="202" w:name="_Hlt26580838"/>
            <w:r/>
            <w:bookmarkStart w:id="203" w:name="_Hlt26955064"/>
            <w:r/>
            <w:bookmarkStart w:id="204" w:name="_Hlt26671343"/>
            <w:r>
              <w:rPr>
                <w:rFonts w:hint="eastAsia" w:ascii="宋体" w:hAnsi="宋体" w:eastAsia="宋体" w:cs="宋体"/>
                <w:color w:val="000000"/>
                <w:highlight w:val="none"/>
              </w:rPr>
              <w:t xml:space="preserve">序号</w:t>
            </w:r>
            <w:bookmarkEnd w:id="197"/>
            <w:r/>
            <w:bookmarkEnd w:id="198"/>
            <w:r/>
            <w:bookmarkEnd w:id="199"/>
            <w:r/>
            <w:bookmarkEnd w:id="200"/>
            <w:r/>
            <w:bookmarkEnd w:id="201"/>
            <w:r/>
            <w:bookmarkEnd w:id="202"/>
            <w:r/>
            <w:bookmarkEnd w:id="203"/>
            <w:r/>
            <w:bookmarkEnd w:id="204"/>
            <w:r/>
            <w:r/>
          </w:p>
        </w:tc>
        <w:tc>
          <w:tcPr>
            <w:shd w:val="clear" w:color="auto" w:fill="auto"/>
            <w:tcBorders>
              <w:top w:val="single" w:color="000000" w:sz="4" w:space="0"/>
              <w:left w:val="single" w:color="000000" w:sz="4" w:space="0"/>
              <w:bottom w:val="single" w:color="000000" w:sz="4" w:space="0"/>
              <w:right w:val="single" w:color="000000" w:sz="4" w:space="0"/>
            </w:tcBorders>
            <w:tcW w:w="2469" w:type="dxa"/>
            <w:vAlign w:val="center"/>
            <w:textDirection w:val="lrTb"/>
            <w:noWrap w:val="false"/>
          </w:tcPr>
          <w:p>
            <w:pPr>
              <w:pStyle w:val="856"/>
              <w:jc w:val="center"/>
              <w:spacing w:beforeAutospacing="0" w:afterAutospacing="0"/>
              <w:rPr>
                <w:highlight w:val="none"/>
              </w:rPr>
            </w:pPr>
            <w:r>
              <w:rPr>
                <w:rFonts w:hint="eastAsia" w:ascii="宋体" w:hAnsi="宋体" w:eastAsia="宋体" w:cs="宋体"/>
                <w:color w:val="000000"/>
                <w:highlight w:val="none"/>
              </w:rPr>
              <w:t xml:space="preserve">招标文件要求</w:t>
            </w:r>
            <w:r/>
          </w:p>
        </w:tc>
        <w:tc>
          <w:tcPr>
            <w:shd w:val="clear" w:color="auto" w:fill="auto"/>
            <w:tcBorders>
              <w:top w:val="single" w:color="000000" w:sz="4" w:space="0"/>
              <w:left w:val="single" w:color="000000" w:sz="4" w:space="0"/>
              <w:bottom w:val="single" w:color="000000" w:sz="4" w:space="0"/>
              <w:right w:val="single" w:color="000000" w:sz="4" w:space="0"/>
            </w:tcBorders>
            <w:tcW w:w="2645" w:type="dxa"/>
            <w:vAlign w:val="center"/>
            <w:textDirection w:val="lrTb"/>
            <w:noWrap w:val="false"/>
          </w:tcPr>
          <w:p>
            <w:pPr>
              <w:pStyle w:val="856"/>
              <w:jc w:val="center"/>
              <w:spacing w:beforeAutospacing="0" w:afterAutospacing="0"/>
              <w:rPr>
                <w:highlight w:val="none"/>
              </w:rPr>
            </w:pPr>
            <w:r>
              <w:rPr>
                <w:rFonts w:hint="eastAsia" w:ascii="宋体" w:hAnsi="宋体" w:eastAsia="宋体" w:cs="宋体"/>
                <w:color w:val="000000"/>
                <w:highlight w:val="none"/>
              </w:rPr>
              <w:t xml:space="preserve">投标响应情况</w:t>
            </w:r>
            <w:r/>
          </w:p>
        </w:tc>
        <w:tc>
          <w:tcPr>
            <w:shd w:val="clear" w:color="auto" w:fill="auto"/>
            <w:tcBorders>
              <w:top w:val="single" w:color="000000" w:sz="4" w:space="0"/>
              <w:left w:val="single" w:color="000000" w:sz="4" w:space="0"/>
              <w:bottom w:val="single" w:color="000000" w:sz="4" w:space="0"/>
              <w:right w:val="single" w:color="000000" w:sz="4" w:space="0"/>
            </w:tcBorders>
            <w:tcW w:w="1244" w:type="dxa"/>
            <w:vAlign w:val="center"/>
            <w:textDirection w:val="lrTb"/>
            <w:noWrap w:val="false"/>
          </w:tcPr>
          <w:p>
            <w:pPr>
              <w:pStyle w:val="856"/>
              <w:jc w:val="center"/>
              <w:spacing w:beforeAutospacing="0" w:afterAutospacing="0"/>
              <w:rPr>
                <w:highlight w:val="none"/>
              </w:rPr>
            </w:pPr>
            <w:r>
              <w:rPr>
                <w:rFonts w:hint="eastAsia" w:ascii="宋体" w:hAnsi="宋体" w:eastAsia="宋体" w:cs="宋体"/>
                <w:color w:val="000000"/>
                <w:highlight w:val="none"/>
              </w:rPr>
              <w:t xml:space="preserve">超出、符合或偏离</w:t>
            </w:r>
            <w:r/>
          </w:p>
        </w:tc>
        <w:tc>
          <w:tcPr>
            <w:shd w:val="clear" w:color="auto" w:fill="auto"/>
            <w:tcBorders>
              <w:top w:val="single" w:color="000000" w:sz="4" w:space="0"/>
              <w:left w:val="single" w:color="000000" w:sz="4" w:space="0"/>
              <w:bottom w:val="single" w:color="000000" w:sz="4" w:space="0"/>
              <w:right w:val="single" w:color="000000" w:sz="4" w:space="0"/>
            </w:tcBorders>
            <w:tcW w:w="1501" w:type="dxa"/>
            <w:vAlign w:val="center"/>
            <w:textDirection w:val="lrTb"/>
            <w:noWrap w:val="false"/>
          </w:tcPr>
          <w:p>
            <w:pPr>
              <w:pStyle w:val="856"/>
              <w:jc w:val="center"/>
              <w:spacing w:beforeAutospacing="0" w:afterAutospacing="0"/>
              <w:rPr>
                <w:highlight w:val="none"/>
              </w:rPr>
            </w:pPr>
            <w:r>
              <w:rPr>
                <w:rFonts w:hint="eastAsia" w:ascii="宋体" w:hAnsi="宋体" w:eastAsia="宋体" w:cs="宋体"/>
                <w:color w:val="000000"/>
                <w:highlight w:val="none"/>
              </w:rPr>
              <w:t xml:space="preserve">证明</w:t>
            </w:r>
            <w:r/>
          </w:p>
          <w:p>
            <w:pPr>
              <w:pStyle w:val="856"/>
              <w:jc w:val="center"/>
              <w:spacing w:beforeAutospacing="0" w:afterAutospacing="0"/>
              <w:rPr>
                <w:highlight w:val="none"/>
              </w:rPr>
            </w:pPr>
            <w:r>
              <w:rPr>
                <w:rFonts w:hint="eastAsia" w:ascii="宋体" w:hAnsi="宋体" w:eastAsia="宋体" w:cs="宋体"/>
                <w:color w:val="000000"/>
                <w:highlight w:val="none"/>
              </w:rPr>
              <w:t xml:space="preserve">材料</w:t>
            </w:r>
            <w:r/>
          </w:p>
        </w:tc>
      </w:tr>
      <w:tr>
        <w:trP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661" w:type="dxa"/>
            <w:vAlign w:val="center"/>
            <w:textDirection w:val="lrTb"/>
            <w:noWrap w:val="false"/>
          </w:tcPr>
          <w:p>
            <w:pPr>
              <w:pStyle w:val="856"/>
              <w:jc w:val="center"/>
              <w:spacing w:beforeAutospacing="0" w:afterAutospacing="0"/>
              <w:rPr>
                <w:highlight w:val="none"/>
              </w:rPr>
            </w:pP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2469" w:type="dxa"/>
            <w:vAlign w:val="center"/>
            <w:textDirection w:val="lrTb"/>
            <w:noWrap w:val="false"/>
          </w:tcPr>
          <w:p>
            <w:pPr>
              <w:pStyle w:val="856"/>
              <w:jc w:val="center"/>
              <w:spacing w:beforeAutospacing="0" w:afterAutospacing="0"/>
              <w:rPr>
                <w:rFonts w:cs="Times New Roman" w:asciiTheme="minorHAnsi" w:hAnsiTheme="minorHAnsi" w:eastAsiaTheme="minorEastAsia"/>
                <w:b w:val="0"/>
                <w:bCs w:val="0"/>
                <w:i w:val="0"/>
                <w:iCs w:val="0"/>
                <w:sz w:val="24"/>
                <w:szCs w:val="24"/>
                <w:highlight w:val="yellow"/>
                <w:u w:val="none"/>
                <w:lang w:val="en-US" w:eastAsia="zh-CN" w:bidi="ar-SA"/>
              </w:rPr>
            </w:pPr>
            <w:r>
              <w:rPr>
                <w:rFonts w:cs="Times New Roman" w:asciiTheme="minorHAnsi" w:hAnsiTheme="minorHAnsi" w:eastAsiaTheme="minorEastAsia"/>
                <w:b w:val="0"/>
                <w:bCs w:val="0"/>
                <w:i w:val="0"/>
                <w:iCs w:val="0"/>
                <w:sz w:val="24"/>
                <w:szCs w:val="24"/>
                <w:highlight w:val="yellow"/>
                <w:u w:val="none"/>
                <w:lang w:val="en-US" w:eastAsia="zh-CN" w:bidi="ar-SA"/>
              </w:rPr>
            </w:r>
            <w:r/>
          </w:p>
        </w:tc>
        <w:tc>
          <w:tcPr>
            <w:shd w:val="clear" w:color="auto" w:fill="auto"/>
            <w:tcBorders>
              <w:top w:val="single" w:color="000000" w:sz="4" w:space="0"/>
              <w:left w:val="single" w:color="000000" w:sz="4" w:space="0"/>
              <w:bottom w:val="single" w:color="000000" w:sz="4" w:space="0"/>
              <w:right w:val="single" w:color="000000" w:sz="4" w:space="0"/>
            </w:tcBorders>
            <w:tcW w:w="2645" w:type="dxa"/>
            <w:vAlign w:val="center"/>
            <w:textDirection w:val="lrTb"/>
            <w:noWrap w:val="false"/>
          </w:tcPr>
          <w:p>
            <w:pPr>
              <w:pStyle w:val="856"/>
              <w:jc w:val="center"/>
              <w:spacing w:beforeAutospacing="0" w:afterAutospacing="0"/>
              <w:rPr>
                <w:highlight w:val="none"/>
              </w:rPr>
            </w:pPr>
            <w:r>
              <w:rPr>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244" w:type="dxa"/>
            <w:vAlign w:val="center"/>
            <w:textDirection w:val="lrTb"/>
            <w:noWrap w:val="false"/>
          </w:tcPr>
          <w:p>
            <w:pPr>
              <w:pStyle w:val="856"/>
              <w:jc w:val="center"/>
              <w:spacing w:beforeAutospacing="0" w:afterAutospacing="0"/>
              <w:rPr>
                <w:highlight w:val="none"/>
              </w:rPr>
            </w:pPr>
            <w:r>
              <w:rPr>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501" w:type="dxa"/>
            <w:vAlign w:val="center"/>
            <w:textDirection w:val="lrTb"/>
            <w:noWrap w:val="false"/>
          </w:tcPr>
          <w:p>
            <w:pPr>
              <w:pStyle w:val="856"/>
              <w:jc w:val="center"/>
              <w:spacing w:beforeAutospacing="0" w:afterAutospacing="0"/>
              <w:rPr>
                <w:highlight w:val="none"/>
              </w:rPr>
            </w:pPr>
            <w:r>
              <w:rPr>
                <w:highlight w:val="none"/>
              </w:rPr>
              <w:t xml:space="preserve"> </w:t>
            </w:r>
            <w:r/>
          </w:p>
        </w:tc>
      </w:tr>
      <w:tr>
        <w:trP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661" w:type="dxa"/>
            <w:vAlign w:val="center"/>
            <w:textDirection w:val="lrTb"/>
            <w:noWrap w:val="false"/>
          </w:tcPr>
          <w:p>
            <w:pPr>
              <w:pStyle w:val="856"/>
              <w:jc w:val="center"/>
              <w:spacing w:beforeAutospacing="0" w:afterAutospacing="0"/>
              <w:rPr>
                <w:rFonts w:hint="eastAsia" w:eastAsiaTheme="minorEastAsia"/>
                <w:highlight w:val="none"/>
                <w:lang w:val="en-US" w:eastAsia="zh-CN"/>
              </w:rPr>
            </w:pPr>
            <w:r>
              <w:rPr>
                <w:rFonts w:hint="eastAsia" w:eastAsiaTheme="minorEastAsia"/>
                <w:highlight w:val="none"/>
                <w:lang w:val="en-US"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2469" w:type="dxa"/>
            <w:vAlign w:val="center"/>
            <w:textDirection w:val="lrTb"/>
            <w:noWrap w:val="false"/>
          </w:tcPr>
          <w:p>
            <w:pPr>
              <w:pStyle w:val="856"/>
              <w:jc w:val="center"/>
              <w:spacing w:beforeAutospacing="0" w:afterAutospacing="0"/>
              <w:rPr>
                <w:rFonts w:hint="eastAsia" w:cs="Times New Roman" w:asciiTheme="minorHAnsi" w:hAnsiTheme="minorHAnsi" w:eastAsiaTheme="minorEastAsia"/>
                <w:i w:val="0"/>
                <w:iCs w:val="0"/>
                <w:sz w:val="24"/>
                <w:szCs w:val="24"/>
                <w:highlight w:val="none"/>
                <w:u w:val="none"/>
                <w:lang w:val="en-US" w:eastAsia="zh-CN" w:bidi="ar-SA"/>
              </w:rPr>
            </w:pPr>
            <w:r>
              <w:rPr>
                <w:rFonts w:hint="eastAsia" w:cs="Times New Roman" w:asciiTheme="minorHAnsi" w:hAnsiTheme="minorHAnsi" w:eastAsiaTheme="minorEastAsia"/>
                <w:i w:val="0"/>
                <w:iCs w:val="0"/>
                <w:sz w:val="24"/>
                <w:szCs w:val="24"/>
                <w:highlight w:val="none"/>
                <w:u w:val="none"/>
                <w:lang w:val="en-US" w:eastAsia="zh-CN" w:bidi="ar-SA"/>
              </w:rPr>
            </w:r>
            <w:r/>
          </w:p>
        </w:tc>
        <w:tc>
          <w:tcPr>
            <w:shd w:val="clear" w:color="auto" w:fill="auto"/>
            <w:tcBorders>
              <w:top w:val="single" w:color="000000" w:sz="4" w:space="0"/>
              <w:left w:val="single" w:color="000000" w:sz="4" w:space="0"/>
              <w:bottom w:val="single" w:color="000000" w:sz="4" w:space="0"/>
              <w:right w:val="single" w:color="000000" w:sz="4" w:space="0"/>
            </w:tcBorders>
            <w:tcW w:w="2645" w:type="dxa"/>
            <w:vAlign w:val="center"/>
            <w:textDirection w:val="lrTb"/>
            <w:noWrap w:val="false"/>
          </w:tcPr>
          <w:p>
            <w:pPr>
              <w:pStyle w:val="856"/>
              <w:jc w:val="center"/>
              <w:spacing w:beforeAutospacing="0" w:afterAutospacing="0"/>
              <w:rPr>
                <w:highlight w:val="none"/>
              </w:rPr>
            </w:pPr>
            <w:r>
              <w:rPr>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244" w:type="dxa"/>
            <w:vAlign w:val="center"/>
            <w:textDirection w:val="lrTb"/>
            <w:noWrap w:val="false"/>
          </w:tcPr>
          <w:p>
            <w:pPr>
              <w:pStyle w:val="856"/>
              <w:jc w:val="center"/>
              <w:spacing w:beforeAutospacing="0" w:afterAutospacing="0"/>
              <w:rPr>
                <w:highlight w:val="none"/>
              </w:rPr>
            </w:pPr>
            <w:r>
              <w:rPr>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501" w:type="dxa"/>
            <w:vAlign w:val="center"/>
            <w:textDirection w:val="lrTb"/>
            <w:noWrap w:val="false"/>
          </w:tcPr>
          <w:p>
            <w:pPr>
              <w:pStyle w:val="856"/>
              <w:jc w:val="center"/>
              <w:spacing w:beforeAutospacing="0" w:afterAutospacing="0"/>
              <w:rPr>
                <w:highlight w:val="none"/>
              </w:rPr>
            </w:pPr>
            <w:r>
              <w:rPr>
                <w:highlight w:val="none"/>
              </w:rPr>
              <w:t xml:space="preserve"> </w:t>
            </w:r>
            <w:r/>
          </w:p>
        </w:tc>
      </w:tr>
      <w:tr>
        <w:trP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661" w:type="dxa"/>
            <w:vAlign w:val="center"/>
            <w:textDirection w:val="lrTb"/>
            <w:noWrap w:val="false"/>
          </w:tcPr>
          <w:p>
            <w:pPr>
              <w:pStyle w:val="856"/>
              <w:jc w:val="center"/>
              <w:spacing w:beforeAutospacing="0" w:afterAutospacing="0"/>
              <w:rPr>
                <w:rFonts w:hint="eastAsia" w:eastAsiaTheme="minorEastAsia"/>
                <w:highlight w:val="none"/>
                <w:lang w:val="en-US" w:eastAsia="zh-CN"/>
              </w:rPr>
            </w:pPr>
            <w:r>
              <w:rPr>
                <w:rFonts w:hint="eastAsia" w:eastAsiaTheme="minorEastAsia"/>
                <w:highlight w:val="none"/>
                <w:lang w:val="en-US"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2469" w:type="dxa"/>
            <w:vAlign w:val="center"/>
            <w:textDirection w:val="lrTb"/>
            <w:noWrap w:val="false"/>
          </w:tcPr>
          <w:p>
            <w:pPr>
              <w:pStyle w:val="856"/>
              <w:jc w:val="center"/>
              <w:spacing w:beforeAutospacing="0" w:afterAutospacing="0"/>
              <w:rPr>
                <w:rFonts w:cs="Times New Roman" w:asciiTheme="minorHAnsi" w:hAnsiTheme="minorHAnsi" w:eastAsiaTheme="minorEastAsia"/>
                <w:b w:val="0"/>
                <w:bCs w:val="0"/>
                <w:i w:val="0"/>
                <w:iCs w:val="0"/>
                <w:sz w:val="24"/>
                <w:szCs w:val="24"/>
                <w:highlight w:val="none"/>
                <w:u w:val="none"/>
                <w:lang w:val="en-US" w:eastAsia="zh-CN" w:bidi="ar-SA"/>
              </w:rPr>
            </w:pPr>
            <w:r>
              <w:rPr>
                <w:rFonts w:cs="Times New Roman" w:asciiTheme="minorHAnsi" w:hAnsiTheme="minorHAnsi" w:eastAsiaTheme="minorEastAsia"/>
                <w:b w:val="0"/>
                <w:bCs w:val="0"/>
                <w:i w:val="0"/>
                <w:iCs w:val="0"/>
                <w:sz w:val="24"/>
                <w:szCs w:val="24"/>
                <w:highlight w:val="none"/>
                <w:u w:val="none"/>
                <w:lang w:val="en-US" w:eastAsia="zh-CN" w:bidi="ar-SA"/>
              </w:rPr>
            </w:r>
            <w:r/>
          </w:p>
        </w:tc>
        <w:tc>
          <w:tcPr>
            <w:shd w:val="clear" w:color="auto" w:fill="auto"/>
            <w:tcBorders>
              <w:top w:val="single" w:color="000000" w:sz="4" w:space="0"/>
              <w:left w:val="single" w:color="000000" w:sz="4" w:space="0"/>
              <w:bottom w:val="single" w:color="000000" w:sz="4" w:space="0"/>
              <w:right w:val="single" w:color="000000" w:sz="4" w:space="0"/>
            </w:tcBorders>
            <w:tcW w:w="2645" w:type="dxa"/>
            <w:vAlign w:val="center"/>
            <w:textDirection w:val="lrTb"/>
            <w:noWrap w:val="false"/>
          </w:tcPr>
          <w:p>
            <w:pPr>
              <w:pStyle w:val="856"/>
              <w:jc w:val="center"/>
              <w:spacing w:beforeAutospacing="0" w:afterAutospacing="0"/>
              <w:rPr>
                <w:highlight w:val="none"/>
              </w:rPr>
            </w:pPr>
            <w:r>
              <w:rPr>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244" w:type="dxa"/>
            <w:vAlign w:val="center"/>
            <w:textDirection w:val="lrTb"/>
            <w:noWrap w:val="false"/>
          </w:tcPr>
          <w:p>
            <w:pPr>
              <w:pStyle w:val="856"/>
              <w:jc w:val="center"/>
              <w:spacing w:beforeAutospacing="0" w:afterAutospacing="0"/>
              <w:rPr>
                <w:highlight w:val="none"/>
              </w:rPr>
            </w:pPr>
            <w:r>
              <w:rPr>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501" w:type="dxa"/>
            <w:vAlign w:val="center"/>
            <w:textDirection w:val="lrTb"/>
            <w:noWrap w:val="false"/>
          </w:tcPr>
          <w:p>
            <w:pPr>
              <w:pStyle w:val="856"/>
              <w:jc w:val="center"/>
              <w:spacing w:beforeAutospacing="0" w:afterAutospacing="0"/>
              <w:rPr>
                <w:highlight w:val="none"/>
              </w:rPr>
            </w:pPr>
            <w:r>
              <w:rPr>
                <w:highlight w:val="none"/>
              </w:rPr>
              <w:t xml:space="preserve"> </w:t>
            </w:r>
            <w:r/>
          </w:p>
        </w:tc>
      </w:tr>
      <w:tr>
        <w:trP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661" w:type="dxa"/>
            <w:vAlign w:val="center"/>
            <w:textDirection w:val="lrTb"/>
            <w:noWrap w:val="false"/>
          </w:tcPr>
          <w:p>
            <w:pPr>
              <w:pStyle w:val="856"/>
              <w:jc w:val="center"/>
              <w:spacing w:beforeAutospacing="0" w:afterAutospacing="0"/>
              <w:rPr>
                <w:highlight w:val="none"/>
              </w:rPr>
            </w:pP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2469" w:type="dxa"/>
            <w:vAlign w:val="center"/>
            <w:textDirection w:val="lrTb"/>
            <w:noWrap w:val="false"/>
          </w:tcPr>
          <w:p>
            <w:pPr>
              <w:pStyle w:val="856"/>
              <w:jc w:val="center"/>
              <w:spacing w:beforeAutospacing="0" w:afterAutospacing="0"/>
              <w:rPr>
                <w:rFonts w:hint="eastAsia" w:cs="Times New Roman" w:asciiTheme="minorHAnsi" w:hAnsiTheme="minorHAnsi" w:eastAsiaTheme="minorEastAsia"/>
                <w:i w:val="0"/>
                <w:iCs w:val="0"/>
                <w:sz w:val="24"/>
                <w:szCs w:val="24"/>
                <w:highlight w:val="none"/>
                <w:u w:val="none"/>
                <w:lang w:val="en-US" w:eastAsia="zh-CN" w:bidi="ar-SA"/>
              </w:rPr>
            </w:pPr>
            <w:r>
              <w:rPr>
                <w:rFonts w:hint="eastAsia" w:cs="Times New Roman" w:asciiTheme="minorHAnsi" w:hAnsiTheme="minorHAnsi" w:eastAsiaTheme="minorEastAsia"/>
                <w:i w:val="0"/>
                <w:iCs w:val="0"/>
                <w:sz w:val="24"/>
                <w:szCs w:val="24"/>
                <w:highlight w:val="none"/>
                <w:u w:val="none"/>
                <w:lang w:val="en-US" w:eastAsia="zh-CN" w:bidi="ar-SA"/>
              </w:rPr>
            </w:r>
            <w:r/>
          </w:p>
        </w:tc>
        <w:tc>
          <w:tcPr>
            <w:shd w:val="clear" w:color="auto" w:fill="auto"/>
            <w:tcBorders>
              <w:top w:val="single" w:color="000000" w:sz="4" w:space="0"/>
              <w:left w:val="single" w:color="000000" w:sz="4" w:space="0"/>
              <w:bottom w:val="single" w:color="000000" w:sz="4" w:space="0"/>
              <w:right w:val="single" w:color="000000" w:sz="4" w:space="0"/>
            </w:tcBorders>
            <w:tcW w:w="2645" w:type="dxa"/>
            <w:vAlign w:val="center"/>
            <w:textDirection w:val="lrTb"/>
            <w:noWrap w:val="false"/>
          </w:tcPr>
          <w:p>
            <w:pPr>
              <w:pStyle w:val="856"/>
              <w:jc w:val="center"/>
              <w:spacing w:beforeAutospacing="0" w:afterAutospacing="0"/>
              <w:rPr>
                <w:highlight w:val="none"/>
              </w:rPr>
            </w:pPr>
            <w:r>
              <w:rPr>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244" w:type="dxa"/>
            <w:vAlign w:val="center"/>
            <w:textDirection w:val="lrTb"/>
            <w:noWrap w:val="false"/>
          </w:tcPr>
          <w:p>
            <w:pPr>
              <w:pStyle w:val="856"/>
              <w:jc w:val="center"/>
              <w:spacing w:beforeAutospacing="0" w:afterAutospacing="0"/>
              <w:rPr>
                <w:highlight w:val="none"/>
              </w:rPr>
            </w:pPr>
            <w:r>
              <w:rPr>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501" w:type="dxa"/>
            <w:vAlign w:val="center"/>
            <w:textDirection w:val="lrTb"/>
            <w:noWrap w:val="false"/>
          </w:tcPr>
          <w:p>
            <w:pPr>
              <w:pStyle w:val="856"/>
              <w:jc w:val="center"/>
              <w:spacing w:beforeAutospacing="0" w:afterAutospacing="0"/>
              <w:rPr>
                <w:highlight w:val="none"/>
              </w:rPr>
            </w:pPr>
            <w:r>
              <w:rPr>
                <w:highlight w:val="none"/>
              </w:rPr>
              <w:t xml:space="preserve"> </w:t>
            </w:r>
            <w:r/>
          </w:p>
        </w:tc>
      </w:tr>
      <w:tr>
        <w:trP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661" w:type="dxa"/>
            <w:vAlign w:val="center"/>
            <w:textDirection w:val="lrTb"/>
            <w:noWrap w:val="false"/>
          </w:tcPr>
          <w:p>
            <w:pPr>
              <w:pStyle w:val="856"/>
              <w:jc w:val="center"/>
              <w:spacing w:beforeAutospacing="0" w:afterAutospacing="0"/>
              <w:rPr>
                <w:highlight w:val="none"/>
              </w:rPr>
            </w:pPr>
            <w:r>
              <w:rPr>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469" w:type="dxa"/>
            <w:vAlign w:val="center"/>
            <w:textDirection w:val="lrTb"/>
            <w:noWrap w:val="false"/>
          </w:tcPr>
          <w:p>
            <w:pPr>
              <w:pStyle w:val="856"/>
              <w:jc w:val="center"/>
              <w:spacing w:beforeAutospacing="0" w:afterAutospacing="0"/>
              <w:rPr>
                <w:highlight w:val="none"/>
              </w:rPr>
            </w:pPr>
            <w:r>
              <w:rPr>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645" w:type="dxa"/>
            <w:vAlign w:val="center"/>
            <w:textDirection w:val="lrTb"/>
            <w:noWrap w:val="false"/>
          </w:tcPr>
          <w:p>
            <w:pPr>
              <w:pStyle w:val="856"/>
              <w:jc w:val="center"/>
              <w:spacing w:beforeAutospacing="0" w:afterAutospacing="0"/>
              <w:rPr>
                <w:highlight w:val="none"/>
              </w:rPr>
            </w:pPr>
            <w:r>
              <w:rPr>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244" w:type="dxa"/>
            <w:vAlign w:val="center"/>
            <w:textDirection w:val="lrTb"/>
            <w:noWrap w:val="false"/>
          </w:tcPr>
          <w:p>
            <w:pPr>
              <w:pStyle w:val="856"/>
              <w:jc w:val="center"/>
              <w:spacing w:beforeAutospacing="0" w:afterAutospacing="0"/>
              <w:rPr>
                <w:highlight w:val="none"/>
              </w:rPr>
            </w:pPr>
            <w:r>
              <w:rPr>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501" w:type="dxa"/>
            <w:vAlign w:val="center"/>
            <w:textDirection w:val="lrTb"/>
            <w:noWrap w:val="false"/>
          </w:tcPr>
          <w:p>
            <w:pPr>
              <w:pStyle w:val="856"/>
              <w:jc w:val="center"/>
              <w:spacing w:beforeAutospacing="0" w:afterAutospacing="0"/>
              <w:rPr>
                <w:highlight w:val="none"/>
              </w:rPr>
            </w:pPr>
            <w:r>
              <w:rPr>
                <w:highlight w:val="none"/>
              </w:rPr>
              <w:t xml:space="preserve"> </w:t>
            </w:r>
            <w:r/>
          </w:p>
        </w:tc>
      </w:tr>
      <w:tr>
        <w:trP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661" w:type="dxa"/>
            <w:vAlign w:val="center"/>
            <w:textDirection w:val="lrTb"/>
            <w:noWrap w:val="false"/>
          </w:tcPr>
          <w:p>
            <w:pPr>
              <w:pStyle w:val="856"/>
              <w:jc w:val="center"/>
              <w:spacing w:beforeAutospacing="0" w:afterAutospacing="0"/>
              <w:rPr>
                <w:highlight w:val="none"/>
              </w:rPr>
            </w:pPr>
            <w:r>
              <w:rPr>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469" w:type="dxa"/>
            <w:vAlign w:val="center"/>
            <w:textDirection w:val="lrTb"/>
            <w:noWrap w:val="false"/>
          </w:tcPr>
          <w:p>
            <w:pPr>
              <w:pStyle w:val="856"/>
              <w:jc w:val="center"/>
              <w:spacing w:beforeAutospacing="0" w:afterAutospacing="0"/>
              <w:rPr>
                <w:highlight w:val="none"/>
              </w:rPr>
            </w:pPr>
            <w:r>
              <w:rPr>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645" w:type="dxa"/>
            <w:vAlign w:val="center"/>
            <w:textDirection w:val="lrTb"/>
            <w:noWrap w:val="false"/>
          </w:tcPr>
          <w:p>
            <w:pPr>
              <w:pStyle w:val="856"/>
              <w:jc w:val="center"/>
              <w:spacing w:beforeAutospacing="0" w:afterAutospacing="0"/>
              <w:rPr>
                <w:highlight w:val="none"/>
              </w:rPr>
            </w:pPr>
            <w:r>
              <w:rPr>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244" w:type="dxa"/>
            <w:vAlign w:val="center"/>
            <w:textDirection w:val="lrTb"/>
            <w:noWrap w:val="false"/>
          </w:tcPr>
          <w:p>
            <w:pPr>
              <w:pStyle w:val="856"/>
              <w:jc w:val="center"/>
              <w:spacing w:beforeAutospacing="0" w:afterAutospacing="0"/>
              <w:rPr>
                <w:highlight w:val="none"/>
              </w:rPr>
            </w:pPr>
            <w:r>
              <w:rPr>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501" w:type="dxa"/>
            <w:vAlign w:val="center"/>
            <w:textDirection w:val="lrTb"/>
            <w:noWrap w:val="false"/>
          </w:tcPr>
          <w:p>
            <w:pPr>
              <w:pStyle w:val="856"/>
              <w:jc w:val="center"/>
              <w:spacing w:beforeAutospacing="0" w:afterAutospacing="0"/>
              <w:rPr>
                <w:highlight w:val="none"/>
              </w:rPr>
            </w:pPr>
            <w:r>
              <w:rPr>
                <w:highlight w:val="none"/>
              </w:rPr>
              <w:t xml:space="preserve"> </w:t>
            </w:r>
            <w:r/>
          </w:p>
        </w:tc>
      </w:tr>
      <w:tr>
        <w:trP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661" w:type="dxa"/>
            <w:vAlign w:val="center"/>
            <w:textDirection w:val="lrTb"/>
            <w:noWrap w:val="false"/>
          </w:tcPr>
          <w:p>
            <w:pPr>
              <w:pStyle w:val="856"/>
              <w:jc w:val="center"/>
              <w:spacing w:beforeAutospacing="0" w:afterAutospacing="0"/>
              <w:rPr>
                <w:highlight w:val="none"/>
              </w:rPr>
            </w:pPr>
            <w:r>
              <w:rPr>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469" w:type="dxa"/>
            <w:vAlign w:val="center"/>
            <w:textDirection w:val="lrTb"/>
            <w:noWrap w:val="false"/>
          </w:tcPr>
          <w:p>
            <w:pPr>
              <w:pStyle w:val="856"/>
              <w:jc w:val="center"/>
              <w:spacing w:beforeAutospacing="0" w:afterAutospacing="0"/>
              <w:rPr>
                <w:highlight w:val="none"/>
              </w:rPr>
            </w:pPr>
            <w:r>
              <w:rPr>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645" w:type="dxa"/>
            <w:vAlign w:val="center"/>
            <w:textDirection w:val="lrTb"/>
            <w:noWrap w:val="false"/>
          </w:tcPr>
          <w:p>
            <w:pPr>
              <w:pStyle w:val="856"/>
              <w:jc w:val="center"/>
              <w:spacing w:beforeAutospacing="0" w:afterAutospacing="0"/>
              <w:rPr>
                <w:highlight w:val="none"/>
              </w:rPr>
            </w:pPr>
            <w:r>
              <w:rPr>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244" w:type="dxa"/>
            <w:vAlign w:val="center"/>
            <w:textDirection w:val="lrTb"/>
            <w:noWrap w:val="false"/>
          </w:tcPr>
          <w:p>
            <w:pPr>
              <w:pStyle w:val="856"/>
              <w:jc w:val="center"/>
              <w:spacing w:beforeAutospacing="0" w:afterAutospacing="0"/>
              <w:rPr>
                <w:highlight w:val="none"/>
              </w:rPr>
            </w:pPr>
            <w:r>
              <w:rPr>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501" w:type="dxa"/>
            <w:vAlign w:val="center"/>
            <w:textDirection w:val="lrTb"/>
            <w:noWrap w:val="false"/>
          </w:tcPr>
          <w:p>
            <w:pPr>
              <w:pStyle w:val="856"/>
              <w:jc w:val="center"/>
              <w:spacing w:beforeAutospacing="0" w:afterAutospacing="0"/>
              <w:rPr>
                <w:highlight w:val="none"/>
              </w:rPr>
            </w:pPr>
            <w:r>
              <w:rPr>
                <w:highlight w:val="none"/>
              </w:rPr>
              <w:t xml:space="preserve"> </w:t>
            </w:r>
            <w:r/>
          </w:p>
        </w:tc>
      </w:tr>
      <w:tr>
        <w:trP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661" w:type="dxa"/>
            <w:vAlign w:val="center"/>
            <w:textDirection w:val="lrTb"/>
            <w:noWrap w:val="false"/>
          </w:tcPr>
          <w:p>
            <w:pPr>
              <w:pStyle w:val="856"/>
              <w:jc w:val="center"/>
              <w:spacing w:beforeAutospacing="0" w:afterAutospacing="0"/>
              <w:rPr>
                <w:highlight w:val="none"/>
              </w:rPr>
            </w:pPr>
            <w:r>
              <w:rPr>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469" w:type="dxa"/>
            <w:vAlign w:val="center"/>
            <w:textDirection w:val="lrTb"/>
            <w:noWrap w:val="false"/>
          </w:tcPr>
          <w:p>
            <w:pPr>
              <w:pStyle w:val="856"/>
              <w:jc w:val="center"/>
              <w:spacing w:beforeAutospacing="0" w:afterAutospacing="0"/>
              <w:rPr>
                <w:highlight w:val="none"/>
              </w:rPr>
            </w:pPr>
            <w:r>
              <w:rPr>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645" w:type="dxa"/>
            <w:vAlign w:val="center"/>
            <w:textDirection w:val="lrTb"/>
            <w:noWrap w:val="false"/>
          </w:tcPr>
          <w:p>
            <w:pPr>
              <w:pStyle w:val="856"/>
              <w:jc w:val="center"/>
              <w:spacing w:beforeAutospacing="0" w:afterAutospacing="0"/>
              <w:rPr>
                <w:highlight w:val="none"/>
              </w:rPr>
            </w:pPr>
            <w:r>
              <w:rPr>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244" w:type="dxa"/>
            <w:vAlign w:val="center"/>
            <w:textDirection w:val="lrTb"/>
            <w:noWrap w:val="false"/>
          </w:tcPr>
          <w:p>
            <w:pPr>
              <w:pStyle w:val="856"/>
              <w:jc w:val="center"/>
              <w:spacing w:beforeAutospacing="0" w:afterAutospacing="0"/>
              <w:rPr>
                <w:highlight w:val="none"/>
              </w:rPr>
            </w:pPr>
            <w:r>
              <w:rPr>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501" w:type="dxa"/>
            <w:vAlign w:val="center"/>
            <w:textDirection w:val="lrTb"/>
            <w:noWrap w:val="false"/>
          </w:tcPr>
          <w:p>
            <w:pPr>
              <w:pStyle w:val="856"/>
              <w:jc w:val="center"/>
              <w:spacing w:beforeAutospacing="0" w:afterAutospacing="0"/>
              <w:rPr>
                <w:highlight w:val="none"/>
              </w:rPr>
            </w:pPr>
            <w:r>
              <w:rPr>
                <w:highlight w:val="none"/>
              </w:rPr>
              <w:t xml:space="preserve"> </w:t>
            </w:r>
            <w:r/>
          </w:p>
        </w:tc>
      </w:tr>
    </w:tbl>
    <w:p>
      <w:pPr>
        <w:pStyle w:val="856"/>
        <w:jc w:val="both"/>
        <w:spacing w:beforeAutospacing="0" w:afterAutospacing="0"/>
        <w:rPr>
          <w:highlight w:val="none"/>
        </w:rPr>
      </w:pPr>
      <w:r>
        <w:rPr>
          <w:rFonts w:hint="eastAsia" w:ascii="宋体" w:hAnsi="宋体" w:eastAsia="宋体" w:cs="宋体"/>
          <w:color w:val="000000"/>
          <w:highlight w:val="none"/>
        </w:rPr>
        <w:t xml:space="preserve">注： 行数不够，可自行添加。</w:t>
      </w:r>
      <w:r/>
    </w:p>
    <w:p>
      <w:pPr>
        <w:pStyle w:val="856"/>
        <w:jc w:val="both"/>
        <w:spacing w:beforeAutospacing="0" w:afterAutospacing="0" w:line="480" w:lineRule="auto"/>
        <w:rPr>
          <w:highlight w:val="none"/>
        </w:rPr>
      </w:pPr>
      <w:r>
        <w:rPr>
          <w:highlight w:val="none"/>
        </w:rPr>
        <w:t xml:space="preserve"> </w:t>
      </w:r>
      <w:r/>
    </w:p>
    <w:p>
      <w:pPr>
        <w:pStyle w:val="856"/>
        <w:jc w:val="both"/>
        <w:spacing w:beforeAutospacing="0" w:afterAutospacing="0" w:line="480" w:lineRule="auto"/>
        <w:rPr>
          <w:highlight w:val="none"/>
        </w:rPr>
      </w:pPr>
      <w:r>
        <w:rPr>
          <w:highlight w:val="none"/>
        </w:rPr>
        <w:t xml:space="preserve"> </w:t>
      </w:r>
      <w:r/>
    </w:p>
    <w:p>
      <w:pPr>
        <w:pStyle w:val="856"/>
        <w:jc w:val="center"/>
        <w:spacing w:beforeAutospacing="0" w:afterAutospacing="0"/>
        <w:rPr>
          <w:highlight w:val="none"/>
        </w:rPr>
      </w:pPr>
      <w:r>
        <w:rPr>
          <w:highlight w:val="none"/>
        </w:rPr>
        <w:t xml:space="preserve"> </w:t>
      </w:r>
      <w:r/>
    </w:p>
    <w:p>
      <w:pPr>
        <w:pStyle w:val="856"/>
        <w:jc w:val="both"/>
        <w:spacing w:beforeAutospacing="0" w:afterAutospacing="0"/>
        <w:rPr>
          <w:highlight w:val="none"/>
        </w:rPr>
      </w:pPr>
      <w:r>
        <w:rPr>
          <w:highlight w:val="none"/>
        </w:rPr>
        <w:t xml:space="preserve"> </w:t>
      </w:r>
      <w:r/>
    </w:p>
    <w:p>
      <w:pPr>
        <w:pStyle w:val="856"/>
        <w:jc w:val="both"/>
        <w:spacing w:beforeAutospacing="0" w:afterAutospacing="0"/>
        <w:rPr>
          <w:highlight w:val="none"/>
        </w:rPr>
      </w:pPr>
      <w:r>
        <w:rPr>
          <w:highlight w:val="none"/>
        </w:rPr>
        <w:t xml:space="preserve"> </w:t>
      </w:r>
      <w:r/>
    </w:p>
    <w:p>
      <w:pPr>
        <w:pStyle w:val="856"/>
        <w:jc w:val="both"/>
        <w:spacing w:beforeAutospacing="0" w:afterAutospacing="0"/>
        <w:rPr>
          <w:highlight w:val="none"/>
        </w:rPr>
      </w:pPr>
      <w:r>
        <w:rPr>
          <w:highlight w:val="none"/>
        </w:rPr>
      </w:r>
      <w:r/>
    </w:p>
    <w:p>
      <w:pPr>
        <w:pStyle w:val="856"/>
        <w:jc w:val="both"/>
        <w:spacing w:beforeAutospacing="0" w:afterAutospacing="0"/>
        <w:rPr>
          <w:highlight w:val="none"/>
        </w:rPr>
      </w:pPr>
      <w:r>
        <w:rPr>
          <w:highlight w:val="none"/>
        </w:rPr>
      </w:r>
      <w:r/>
    </w:p>
    <w:p>
      <w:pPr>
        <w:pStyle w:val="856"/>
        <w:jc w:val="both"/>
        <w:spacing w:beforeAutospacing="0" w:afterAutospacing="0"/>
        <w:rPr>
          <w:highlight w:val="none"/>
        </w:rPr>
      </w:pPr>
      <w:r>
        <w:rPr>
          <w:highlight w:val="none"/>
        </w:rPr>
      </w:r>
      <w:r/>
    </w:p>
    <w:p>
      <w:pPr>
        <w:pStyle w:val="856"/>
        <w:jc w:val="both"/>
        <w:spacing w:beforeAutospacing="0" w:afterAutospacing="0"/>
        <w:rPr>
          <w:highlight w:val="none"/>
        </w:rPr>
      </w:pPr>
      <w:r>
        <w:rPr>
          <w:highlight w:val="none"/>
        </w:rPr>
      </w:r>
      <w:r/>
    </w:p>
    <w:p>
      <w:pPr>
        <w:pStyle w:val="856"/>
        <w:jc w:val="both"/>
        <w:spacing w:beforeAutospacing="0" w:afterAutospacing="0"/>
        <w:rPr>
          <w:highlight w:val="none"/>
        </w:rPr>
      </w:pPr>
      <w:r>
        <w:rPr>
          <w:highlight w:val="none"/>
        </w:rPr>
      </w:r>
      <w:r/>
    </w:p>
    <w:p>
      <w:pPr>
        <w:pStyle w:val="856"/>
        <w:jc w:val="both"/>
        <w:spacing w:beforeAutospacing="0" w:afterAutospacing="0"/>
        <w:rPr>
          <w:highlight w:val="none"/>
        </w:rPr>
      </w:pPr>
      <w:r>
        <w:rPr>
          <w:highlight w:val="none"/>
        </w:rPr>
      </w:r>
      <w:r/>
    </w:p>
    <w:p>
      <w:pPr>
        <w:pStyle w:val="856"/>
        <w:jc w:val="both"/>
        <w:spacing w:beforeAutospacing="0" w:afterAutospacing="0"/>
        <w:rPr>
          <w:highlight w:val="none"/>
        </w:rPr>
      </w:pPr>
      <w:r>
        <w:rPr>
          <w:highlight w:val="none"/>
        </w:rPr>
      </w:r>
      <w:r/>
    </w:p>
    <w:p>
      <w:pPr>
        <w:pStyle w:val="856"/>
        <w:jc w:val="both"/>
        <w:spacing w:beforeAutospacing="0" w:afterAutospacing="0"/>
        <w:rPr>
          <w:highlight w:val="none"/>
        </w:rPr>
      </w:pPr>
      <w:r>
        <w:rPr>
          <w:highlight w:val="none"/>
        </w:rPr>
      </w:r>
      <w:r/>
    </w:p>
    <w:p>
      <w:pPr>
        <w:pStyle w:val="856"/>
        <w:jc w:val="both"/>
        <w:spacing w:beforeAutospacing="0" w:afterAutospacing="0"/>
        <w:rPr>
          <w:highlight w:val="none"/>
        </w:rPr>
      </w:pPr>
      <w:r>
        <w:rPr>
          <w:highlight w:val="none"/>
        </w:rPr>
      </w:r>
      <w:r/>
    </w:p>
    <w:p>
      <w:pPr>
        <w:pStyle w:val="856"/>
        <w:jc w:val="center"/>
        <w:spacing w:beforeAutospacing="0" w:afterAutospacing="0"/>
        <w:rPr>
          <w:highlight w:val="none"/>
        </w:rPr>
      </w:pPr>
      <w:r>
        <w:rPr>
          <w:highlight w:val="none"/>
        </w:rPr>
      </w:r>
      <w:r/>
    </w:p>
    <w:p>
      <w:pPr>
        <w:pStyle w:val="856"/>
        <w:jc w:val="center"/>
        <w:spacing w:beforeAutospacing="0" w:afterAutospacing="0"/>
        <w:rPr>
          <w:highlight w:val="none"/>
        </w:rPr>
      </w:pPr>
      <w:r>
        <w:rPr>
          <w:highlight w:val="none"/>
        </w:rPr>
      </w:r>
      <w:r/>
    </w:p>
    <w:p>
      <w:pPr>
        <w:pStyle w:val="856"/>
        <w:jc w:val="center"/>
        <w:spacing w:beforeAutospacing="0" w:afterAutospacing="0"/>
        <w:rPr>
          <w:highlight w:val="none"/>
        </w:rPr>
      </w:pPr>
      <w:r>
        <w:rPr>
          <w:highlight w:val="none"/>
        </w:rPr>
        <w:t xml:space="preserve"> </w:t>
      </w:r>
      <w:r/>
    </w:p>
    <w:p>
      <w:pPr>
        <w:pStyle w:val="856"/>
        <w:ind w:left="0" w:firstLine="0"/>
        <w:jc w:val="center"/>
        <w:spacing w:beforeAutospacing="0" w:afterAutospacing="0"/>
        <w:rPr>
          <w:highlight w:val="none"/>
        </w:rPr>
      </w:pPr>
      <w:r>
        <w:rPr>
          <w:rFonts w:hint="eastAsia" w:ascii="黑体" w:hAnsi="宋体" w:eastAsia="黑体" w:cs="黑体"/>
          <w:b/>
          <w:i/>
          <w:color w:val="000000"/>
          <w:sz w:val="32"/>
          <w:szCs w:val="32"/>
          <w:highlight w:val="none"/>
          <w:u w:val="single"/>
        </w:rPr>
        <w:t xml:space="preserve">十</w:t>
      </w:r>
      <w:r>
        <w:rPr>
          <w:rFonts w:hint="eastAsia" w:ascii="黑体" w:hAnsi="宋体" w:eastAsia="黑体" w:cs="黑体"/>
          <w:b/>
          <w:i/>
          <w:color w:val="000000"/>
          <w:sz w:val="32"/>
          <w:szCs w:val="32"/>
          <w:highlight w:val="none"/>
          <w:u w:val="single"/>
          <w:lang w:eastAsia="zh-CN"/>
        </w:rPr>
        <w:t xml:space="preserve">五</w:t>
      </w:r>
      <w:r>
        <w:rPr>
          <w:rFonts w:hint="eastAsia" w:ascii="黑体" w:hAnsi="宋体" w:eastAsia="黑体" w:cs="黑体"/>
          <w:b/>
          <w:i/>
          <w:color w:val="000000"/>
          <w:sz w:val="32"/>
          <w:szCs w:val="32"/>
          <w:highlight w:val="none"/>
          <w:u w:val="single"/>
        </w:rPr>
        <w:t xml:space="preserve">、开标一览表</w:t>
      </w:r>
      <w:r/>
    </w:p>
    <w:p>
      <w:pPr>
        <w:pStyle w:val="856"/>
        <w:ind w:firstLine="480"/>
        <w:jc w:val="both"/>
        <w:spacing w:beforeAutospacing="0" w:afterAutospacing="0"/>
        <w:rPr>
          <w:rFonts w:hint="eastAsia" w:ascii="宋体" w:hAnsi="宋体" w:eastAsia="宋体" w:cs="宋体"/>
          <w:color w:val="auto"/>
          <w:highlight w:val="none"/>
        </w:rPr>
      </w:pPr>
      <w:r>
        <w:rPr>
          <w:rFonts w:hint="eastAsia" w:ascii="宋体" w:hAnsi="宋体" w:eastAsia="宋体" w:cs="宋体"/>
          <w:color w:val="auto"/>
          <w:highlight w:val="none"/>
        </w:rPr>
      </w:r>
      <w:r/>
    </w:p>
    <w:p>
      <w:pPr>
        <w:pStyle w:val="856"/>
        <w:ind w:firstLine="480"/>
        <w:jc w:val="both"/>
        <w:spacing w:beforeAutospacing="0" w:afterAutospacing="0"/>
        <w:rPr>
          <w:color w:val="auto"/>
          <w:highlight w:val="none"/>
        </w:rPr>
      </w:pPr>
      <w:r>
        <w:rPr>
          <w:rFonts w:hint="eastAsia" w:ascii="宋体" w:hAnsi="宋体" w:eastAsia="宋体" w:cs="宋体"/>
          <w:color w:val="auto"/>
          <w:highlight w:val="none"/>
        </w:rPr>
        <w:t xml:space="preserve">投标人全称（加盖CA电子签章）：</w:t>
      </w:r>
      <w:r/>
    </w:p>
    <w:p>
      <w:pPr>
        <w:pStyle w:val="856"/>
        <w:ind w:firstLine="480"/>
        <w:jc w:val="both"/>
        <w:spacing w:beforeAutospacing="0" w:afterAutospacing="0"/>
        <w:rPr>
          <w:color w:val="auto"/>
          <w:highlight w:val="none"/>
        </w:rPr>
      </w:pPr>
      <w:r>
        <w:rPr>
          <w:rFonts w:hint="eastAsia" w:ascii="宋体" w:hAnsi="宋体" w:eastAsia="宋体" w:cs="宋体"/>
          <w:color w:val="auto"/>
          <w:highlight w:val="none"/>
        </w:rPr>
        <w:t xml:space="preserve">项目名称：</w:t>
      </w:r>
      <w:r/>
    </w:p>
    <w:p>
      <w:pPr>
        <w:pStyle w:val="856"/>
        <w:ind w:firstLine="480"/>
        <w:jc w:val="both"/>
        <w:spacing w:beforeAutospacing="0" w:afterAutospacing="0"/>
        <w:rPr>
          <w:rFonts w:hint="eastAsia" w:ascii="宋体" w:hAnsi="宋体" w:eastAsia="宋体" w:cs="宋体"/>
          <w:color w:val="auto"/>
          <w:highlight w:val="none"/>
        </w:rPr>
      </w:pPr>
      <w:r>
        <w:rPr>
          <w:rFonts w:hint="eastAsia" w:ascii="宋体" w:hAnsi="宋体" w:eastAsia="宋体" w:cs="宋体"/>
          <w:color w:val="auto"/>
          <w:highlight w:val="none"/>
          <w:lang w:val="en-US" w:eastAsia="zh-CN"/>
        </w:rPr>
        <w:t xml:space="preserve">项目</w:t>
      </w:r>
      <w:r>
        <w:rPr>
          <w:rFonts w:hint="eastAsia" w:ascii="宋体" w:hAnsi="宋体" w:eastAsia="宋体" w:cs="宋体"/>
          <w:color w:val="auto"/>
          <w:highlight w:val="none"/>
        </w:rPr>
        <w:t xml:space="preserve">编号：</w:t>
      </w:r>
      <w:r/>
    </w:p>
    <w:p>
      <w:pPr>
        <w:pStyle w:val="856"/>
        <w:ind w:firstLine="480"/>
        <w:jc w:val="both"/>
        <w:spacing w:beforeAutospacing="0" w:afterAutospacing="0"/>
        <w:rPr>
          <w:color w:val="auto"/>
          <w:highlight w:val="none"/>
        </w:rPr>
      </w:pPr>
      <w:r>
        <w:rPr>
          <w:color w:val="auto"/>
          <w:highlight w:val="none"/>
        </w:rPr>
      </w:r>
      <w:r/>
    </w:p>
    <w:tbl>
      <w:tblPr>
        <w:tblStyle w:val="848"/>
        <w:tblW w:w="8206" w:type="dxa"/>
        <w:tblCellSpacing w:w="0" w:type="dxa"/>
        <w:tblInd w:w="118" w:type="dxa"/>
        <w:tblLayout w:type="fixed"/>
        <w:tblCellMar>
          <w:left w:w="108" w:type="dxa"/>
          <w:top w:w="0" w:type="dxa"/>
          <w:right w:w="108" w:type="dxa"/>
          <w:bottom w:w="0" w:type="dxa"/>
        </w:tblCellMar>
        <w:tblLook w:val="04A0" w:firstRow="1" w:lastRow="0" w:firstColumn="1" w:lastColumn="0" w:noHBand="0" w:noVBand="1"/>
      </w:tblPr>
      <w:tblGrid>
        <w:gridCol w:w="8206"/>
      </w:tblGrid>
      <w:tr>
        <w:trPr>
          <w:tblCellSpacing w:w="0" w:type="dxa"/>
          <w:trHeight w:val="725"/>
        </w:trPr>
        <w:tc>
          <w:tcPr>
            <w:shd w:val="clear" w:color="auto" w:fill="auto"/>
            <w:tcBorders>
              <w:top w:val="single" w:color="000000" w:sz="4" w:space="0"/>
              <w:left w:val="single" w:color="000000" w:sz="4" w:space="0"/>
              <w:bottom w:val="single" w:color="000000" w:sz="4" w:space="0"/>
              <w:right w:val="single" w:color="000000" w:sz="4" w:space="0"/>
            </w:tcBorders>
            <w:tcW w:w="8206" w:type="dxa"/>
            <w:vAlign w:val="center"/>
            <w:textDirection w:val="lrTb"/>
            <w:noWrap w:val="false"/>
          </w:tcPr>
          <w:p>
            <w:pPr>
              <w:pStyle w:val="856"/>
              <w:jc w:val="center"/>
              <w:spacing w:beforeAutospacing="0" w:afterAutospacing="0"/>
              <w:rPr>
                <w:color w:val="auto"/>
                <w:highlight w:val="none"/>
              </w:rPr>
            </w:pPr>
            <w:r>
              <w:rPr>
                <w:rFonts w:hint="eastAsia" w:ascii="宋体" w:hAnsi="宋体" w:eastAsia="宋体" w:cs="宋体"/>
                <w:color w:val="auto"/>
                <w:highlight w:val="none"/>
              </w:rPr>
              <w:t xml:space="preserve">投标总报价</w:t>
            </w:r>
            <w:r/>
          </w:p>
        </w:tc>
      </w:tr>
      <w:tr>
        <w:trPr>
          <w:tblCellSpacing w:w="0" w:type="dxa"/>
          <w:trHeight w:val="612"/>
        </w:trPr>
        <w:tc>
          <w:tcPr>
            <w:shd w:val="clear" w:color="auto" w:fill="auto"/>
            <w:tcBorders>
              <w:top w:val="single" w:color="000000" w:sz="4" w:space="0"/>
              <w:left w:val="single" w:color="000000" w:sz="4" w:space="0"/>
              <w:bottom w:val="single" w:color="000000" w:sz="4" w:space="0"/>
              <w:right w:val="single" w:color="000000" w:sz="4" w:space="0"/>
            </w:tcBorders>
            <w:tcW w:w="8206" w:type="dxa"/>
            <w:vAlign w:val="center"/>
            <w:textDirection w:val="lrTb"/>
            <w:noWrap w:val="false"/>
          </w:tcPr>
          <w:p>
            <w:pPr>
              <w:pStyle w:val="856"/>
              <w:spacing w:beforeAutospacing="0" w:afterAutospacing="0" w:line="0" w:lineRule="atLeast"/>
              <w:rPr>
                <w:rFonts w:hint="eastAsia" w:ascii="宋体" w:hAnsi="宋体" w:eastAsia="宋体" w:cs="宋体"/>
                <w:color w:val="auto"/>
                <w:highlight w:val="none"/>
                <w:lang w:val="en-US" w:eastAsia="zh-CN"/>
              </w:rPr>
            </w:pPr>
            <w:r>
              <w:rPr>
                <w:rFonts w:hint="eastAsia" w:ascii="宋体" w:hAnsi="宋体" w:eastAsia="宋体" w:cs="宋体"/>
                <w:color w:val="auto"/>
                <w:highlight w:val="none"/>
                <w:lang w:val="en-US" w:eastAsia="zh-CN"/>
              </w:rPr>
              <w:t xml:space="preserve">大写：</w:t>
            </w:r>
            <w:r/>
          </w:p>
        </w:tc>
      </w:tr>
      <w:tr>
        <w:trPr>
          <w:tblCellSpacing w:w="0" w:type="dxa"/>
          <w:trHeight w:val="612"/>
        </w:trPr>
        <w:tc>
          <w:tcPr>
            <w:shd w:val="clear" w:color="auto" w:fill="auto"/>
            <w:tcBorders>
              <w:top w:val="single" w:color="000000" w:sz="4" w:space="0"/>
              <w:left w:val="single" w:color="000000" w:sz="4" w:space="0"/>
              <w:bottom w:val="single" w:color="000000" w:sz="4" w:space="0"/>
              <w:right w:val="single" w:color="000000" w:sz="4" w:space="0"/>
            </w:tcBorders>
            <w:tcW w:w="8206" w:type="dxa"/>
            <w:vAlign w:val="center"/>
            <w:textDirection w:val="lrTb"/>
            <w:noWrap w:val="false"/>
          </w:tcPr>
          <w:p>
            <w:pPr>
              <w:pStyle w:val="856"/>
              <w:spacing w:beforeAutospacing="0" w:afterAutospacing="0" w:line="0" w:lineRule="atLeast"/>
              <w:rPr>
                <w:color w:val="auto"/>
                <w:highlight w:val="none"/>
              </w:rPr>
            </w:pPr>
            <w:r>
              <w:rPr>
                <w:rFonts w:hint="eastAsia" w:ascii="宋体" w:hAnsi="宋体" w:eastAsia="宋体" w:cs="宋体"/>
                <w:color w:val="auto"/>
                <w:highlight w:val="none"/>
              </w:rPr>
              <w:t xml:space="preserve">小写：                       （人民币：元）</w:t>
            </w:r>
            <w:r/>
          </w:p>
        </w:tc>
      </w:tr>
    </w:tbl>
    <w:p>
      <w:pPr>
        <w:pStyle w:val="856"/>
        <w:jc w:val="both"/>
        <w:spacing w:beforeAutospacing="0" w:afterAutospacing="0"/>
        <w:rPr>
          <w:color w:val="auto"/>
          <w:highlight w:val="none"/>
        </w:rPr>
      </w:pPr>
      <w:r>
        <w:rPr>
          <w:color w:val="auto"/>
          <w:highlight w:val="none"/>
        </w:rPr>
        <w:t xml:space="preserve"> </w:t>
      </w:r>
      <w:r/>
    </w:p>
    <w:p>
      <w:pPr>
        <w:pStyle w:val="856"/>
        <w:ind w:firstLine="480"/>
        <w:jc w:val="both"/>
        <w:spacing w:beforeAutospacing="0" w:afterAutospacing="0"/>
        <w:rPr>
          <w:color w:val="auto"/>
          <w:highlight w:val="none"/>
        </w:rPr>
      </w:pPr>
      <w:r>
        <w:rPr>
          <w:rFonts w:hint="eastAsia" w:ascii="宋体" w:hAnsi="宋体" w:eastAsia="宋体" w:cs="宋体"/>
          <w:color w:val="auto"/>
          <w:highlight w:val="none"/>
        </w:rPr>
        <w:t xml:space="preserve">                                       日期：</w:t>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rPr>
        <w:t xml:space="preserve">年</w:t>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rPr>
        <w:t xml:space="preserve">月</w:t>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rPr>
        <w:t xml:space="preserve">日</w:t>
      </w:r>
      <w:r/>
    </w:p>
    <w:p>
      <w:pPr>
        <w:pStyle w:val="856"/>
        <w:ind w:firstLine="480"/>
        <w:jc w:val="both"/>
        <w:spacing w:beforeAutospacing="0" w:afterAutospacing="0"/>
        <w:rPr>
          <w:highlight w:val="none"/>
        </w:rPr>
      </w:pPr>
      <w:r>
        <w:rPr>
          <w:highlight w:val="none"/>
        </w:rPr>
        <w:t xml:space="preserve"> </w:t>
      </w:r>
      <w:r/>
    </w:p>
    <w:p>
      <w:pPr>
        <w:pStyle w:val="862"/>
        <w:rPr>
          <w:highlight w:val="none"/>
        </w:rPr>
      </w:pPr>
      <w:r>
        <w:rPr>
          <w:highlight w:val="none"/>
        </w:rPr>
      </w:r>
      <w:r/>
    </w:p>
    <w:p>
      <w:pPr>
        <w:pStyle w:val="856"/>
        <w:ind w:firstLine="480"/>
        <w:jc w:val="both"/>
        <w:spacing w:beforeAutospacing="0" w:afterAutospacing="0"/>
        <w:rPr>
          <w:highlight w:val="none"/>
        </w:rPr>
      </w:pPr>
      <w:r>
        <w:rPr>
          <w:highlight w:val="none"/>
        </w:rPr>
      </w:r>
      <w:r/>
    </w:p>
    <w:p>
      <w:pPr>
        <w:pStyle w:val="856"/>
        <w:ind w:firstLine="480"/>
        <w:jc w:val="both"/>
        <w:spacing w:beforeAutospacing="0" w:afterAutospacing="0"/>
        <w:rPr>
          <w:highlight w:val="none"/>
        </w:rPr>
      </w:pPr>
      <w:r>
        <w:rPr>
          <w:highlight w:val="none"/>
        </w:rPr>
      </w:r>
      <w:r/>
    </w:p>
    <w:p>
      <w:pPr>
        <w:pStyle w:val="856"/>
        <w:ind w:firstLine="480"/>
        <w:jc w:val="both"/>
        <w:spacing w:beforeAutospacing="0" w:afterAutospacing="0"/>
        <w:rPr>
          <w:highlight w:val="none"/>
        </w:rPr>
      </w:pPr>
      <w:r>
        <w:rPr>
          <w:highlight w:val="none"/>
        </w:rPr>
      </w:r>
      <w:r/>
    </w:p>
    <w:p>
      <w:pPr>
        <w:pStyle w:val="856"/>
        <w:ind w:firstLine="480"/>
        <w:jc w:val="both"/>
        <w:spacing w:beforeAutospacing="0" w:afterAutospacing="0"/>
        <w:rPr>
          <w:highlight w:val="none"/>
        </w:rPr>
      </w:pPr>
      <w:r>
        <w:rPr>
          <w:highlight w:val="none"/>
        </w:rPr>
      </w:r>
      <w:r/>
    </w:p>
    <w:p>
      <w:pPr>
        <w:pStyle w:val="856"/>
        <w:ind w:firstLine="480"/>
        <w:jc w:val="both"/>
        <w:spacing w:beforeAutospacing="0" w:afterAutospacing="0"/>
        <w:rPr>
          <w:highlight w:val="none"/>
        </w:rPr>
      </w:pPr>
      <w:r>
        <w:rPr>
          <w:highlight w:val="none"/>
        </w:rPr>
      </w:r>
      <w:r/>
    </w:p>
    <w:p>
      <w:pPr>
        <w:pStyle w:val="856"/>
        <w:ind w:firstLine="480"/>
        <w:jc w:val="both"/>
        <w:spacing w:beforeAutospacing="0" w:afterAutospacing="0"/>
        <w:rPr>
          <w:highlight w:val="none"/>
        </w:rPr>
      </w:pPr>
      <w:r>
        <w:rPr>
          <w:highlight w:val="none"/>
        </w:rPr>
      </w:r>
      <w:r/>
    </w:p>
    <w:p>
      <w:pPr>
        <w:pStyle w:val="856"/>
        <w:ind w:firstLine="480"/>
        <w:jc w:val="both"/>
        <w:spacing w:beforeAutospacing="0" w:afterAutospacing="0"/>
        <w:rPr>
          <w:highlight w:val="none"/>
        </w:rPr>
      </w:pPr>
      <w:r>
        <w:rPr>
          <w:highlight w:val="none"/>
        </w:rPr>
      </w:r>
      <w:r/>
    </w:p>
    <w:p>
      <w:pPr>
        <w:pStyle w:val="856"/>
        <w:ind w:firstLine="480"/>
        <w:jc w:val="both"/>
        <w:spacing w:beforeAutospacing="0" w:afterAutospacing="0"/>
        <w:rPr>
          <w:highlight w:val="none"/>
        </w:rPr>
      </w:pPr>
      <w:r>
        <w:rPr>
          <w:highlight w:val="none"/>
        </w:rPr>
      </w:r>
      <w:r/>
    </w:p>
    <w:p>
      <w:pPr>
        <w:pStyle w:val="856"/>
        <w:ind w:firstLine="480"/>
        <w:jc w:val="both"/>
        <w:spacing w:beforeAutospacing="0" w:afterAutospacing="0"/>
        <w:rPr>
          <w:highlight w:val="none"/>
        </w:rPr>
      </w:pPr>
      <w:r>
        <w:rPr>
          <w:highlight w:val="none"/>
        </w:rPr>
      </w:r>
      <w:r/>
    </w:p>
    <w:p>
      <w:pPr>
        <w:pStyle w:val="856"/>
        <w:ind w:firstLine="480"/>
        <w:jc w:val="both"/>
        <w:spacing w:beforeAutospacing="0" w:afterAutospacing="0"/>
        <w:rPr>
          <w:highlight w:val="none"/>
        </w:rPr>
      </w:pPr>
      <w:r>
        <w:rPr>
          <w:highlight w:val="none"/>
        </w:rPr>
      </w:r>
      <w:r/>
    </w:p>
    <w:p>
      <w:pPr>
        <w:pStyle w:val="856"/>
        <w:ind w:firstLine="480"/>
        <w:jc w:val="both"/>
        <w:spacing w:beforeAutospacing="0" w:afterAutospacing="0"/>
        <w:rPr>
          <w:highlight w:val="none"/>
        </w:rPr>
      </w:pPr>
      <w:r>
        <w:rPr>
          <w:highlight w:val="none"/>
        </w:rPr>
      </w:r>
      <w:r/>
    </w:p>
    <w:p>
      <w:pPr>
        <w:pStyle w:val="856"/>
        <w:ind w:firstLine="480"/>
        <w:jc w:val="both"/>
        <w:spacing w:beforeAutospacing="0" w:afterAutospacing="0"/>
        <w:rPr>
          <w:highlight w:val="none"/>
        </w:rPr>
      </w:pPr>
      <w:r>
        <w:rPr>
          <w:highlight w:val="none"/>
        </w:rPr>
      </w:r>
      <w:r/>
    </w:p>
    <w:p>
      <w:pPr>
        <w:pStyle w:val="856"/>
        <w:ind w:firstLine="480"/>
        <w:jc w:val="both"/>
        <w:spacing w:beforeAutospacing="0" w:afterAutospacing="0"/>
        <w:rPr>
          <w:highlight w:val="none"/>
        </w:rPr>
      </w:pPr>
      <w:r>
        <w:rPr>
          <w:highlight w:val="none"/>
        </w:rPr>
      </w:r>
      <w:r/>
    </w:p>
    <w:p>
      <w:pPr>
        <w:pStyle w:val="856"/>
        <w:ind w:firstLine="480"/>
        <w:jc w:val="both"/>
        <w:spacing w:beforeAutospacing="0" w:afterAutospacing="0"/>
        <w:rPr>
          <w:highlight w:val="none"/>
        </w:rPr>
      </w:pPr>
      <w:r>
        <w:rPr>
          <w:highlight w:val="none"/>
        </w:rPr>
      </w:r>
      <w:r/>
    </w:p>
    <w:p>
      <w:pPr>
        <w:pStyle w:val="856"/>
        <w:ind w:firstLine="480"/>
        <w:jc w:val="both"/>
        <w:spacing w:beforeAutospacing="0" w:afterAutospacing="0"/>
        <w:rPr>
          <w:highlight w:val="none"/>
        </w:rPr>
      </w:pPr>
      <w:r>
        <w:rPr>
          <w:highlight w:val="none"/>
        </w:rPr>
      </w:r>
      <w:r/>
    </w:p>
    <w:p>
      <w:pPr>
        <w:pStyle w:val="856"/>
        <w:ind w:firstLine="480"/>
        <w:jc w:val="both"/>
        <w:spacing w:beforeAutospacing="0" w:afterAutospacing="0"/>
        <w:rPr>
          <w:highlight w:val="none"/>
        </w:rPr>
      </w:pPr>
      <w:r>
        <w:rPr>
          <w:highlight w:val="none"/>
        </w:rPr>
      </w:r>
      <w:r/>
    </w:p>
    <w:p>
      <w:pPr>
        <w:pStyle w:val="856"/>
        <w:ind w:firstLine="480"/>
        <w:jc w:val="both"/>
        <w:spacing w:beforeAutospacing="0" w:afterAutospacing="0"/>
        <w:rPr>
          <w:highlight w:val="none"/>
        </w:rPr>
      </w:pPr>
      <w:r>
        <w:rPr>
          <w:highlight w:val="none"/>
        </w:rPr>
      </w:r>
      <w:r/>
    </w:p>
    <w:p>
      <w:pPr>
        <w:pStyle w:val="856"/>
        <w:ind w:firstLine="480"/>
        <w:jc w:val="both"/>
        <w:spacing w:beforeAutospacing="0" w:afterAutospacing="0"/>
        <w:rPr>
          <w:highlight w:val="none"/>
        </w:rPr>
      </w:pPr>
      <w:r>
        <w:rPr>
          <w:highlight w:val="none"/>
        </w:rPr>
      </w:r>
      <w:r/>
    </w:p>
    <w:p>
      <w:pPr>
        <w:pStyle w:val="856"/>
        <w:ind w:firstLine="480"/>
        <w:jc w:val="both"/>
        <w:spacing w:beforeAutospacing="0" w:afterAutospacing="0"/>
        <w:rPr>
          <w:highlight w:val="none"/>
        </w:rPr>
      </w:pPr>
      <w:r>
        <w:rPr>
          <w:highlight w:val="none"/>
        </w:rPr>
      </w:r>
      <w:r/>
    </w:p>
    <w:p>
      <w:pPr>
        <w:pStyle w:val="856"/>
        <w:ind w:firstLine="480"/>
        <w:jc w:val="both"/>
        <w:spacing w:beforeAutospacing="0" w:afterAutospacing="0"/>
        <w:rPr>
          <w:highlight w:val="none"/>
        </w:rPr>
      </w:pPr>
      <w:r>
        <w:rPr>
          <w:highlight w:val="none"/>
        </w:rPr>
      </w:r>
      <w:r/>
    </w:p>
    <w:p>
      <w:pPr>
        <w:pStyle w:val="856"/>
        <w:ind w:firstLine="480"/>
        <w:jc w:val="both"/>
        <w:spacing w:beforeAutospacing="0" w:afterAutospacing="0"/>
        <w:rPr>
          <w:highlight w:val="none"/>
        </w:rPr>
      </w:pPr>
      <w:r>
        <w:rPr>
          <w:highlight w:val="none"/>
        </w:rPr>
      </w:r>
      <w:r/>
    </w:p>
    <w:p>
      <w:pPr>
        <w:pStyle w:val="856"/>
        <w:ind w:firstLine="480"/>
        <w:jc w:val="both"/>
        <w:spacing w:beforeAutospacing="0" w:afterAutospacing="0"/>
        <w:rPr>
          <w:highlight w:val="none"/>
        </w:rPr>
      </w:pPr>
      <w:r>
        <w:rPr>
          <w:highlight w:val="none"/>
        </w:rPr>
      </w:r>
      <w:r/>
    </w:p>
    <w:p>
      <w:pPr>
        <w:pStyle w:val="856"/>
        <w:ind w:firstLine="480"/>
        <w:jc w:val="both"/>
        <w:spacing w:beforeAutospacing="0" w:afterAutospacing="0"/>
        <w:rPr>
          <w:highlight w:val="none"/>
        </w:rPr>
      </w:pPr>
      <w:r>
        <w:rPr>
          <w:highlight w:val="none"/>
        </w:rPr>
      </w:r>
      <w:r/>
    </w:p>
    <w:p>
      <w:pPr>
        <w:pStyle w:val="856"/>
        <w:ind w:firstLine="480"/>
        <w:jc w:val="both"/>
        <w:spacing w:beforeAutospacing="0" w:afterAutospacing="0"/>
        <w:rPr>
          <w:highlight w:val="none"/>
        </w:rPr>
      </w:pPr>
      <w:r>
        <w:rPr>
          <w:highlight w:val="none"/>
        </w:rPr>
      </w:r>
      <w:r/>
    </w:p>
    <w:p>
      <w:pPr>
        <w:pStyle w:val="856"/>
        <w:ind w:firstLine="480"/>
        <w:jc w:val="both"/>
        <w:spacing w:beforeAutospacing="0" w:afterAutospacing="0"/>
        <w:rPr>
          <w:highlight w:val="none"/>
        </w:rPr>
      </w:pPr>
      <w:r>
        <w:rPr>
          <w:highlight w:val="none"/>
        </w:rPr>
      </w:r>
      <w:r/>
    </w:p>
    <w:p>
      <w:pPr>
        <w:pStyle w:val="856"/>
        <w:ind w:firstLine="480"/>
        <w:jc w:val="both"/>
        <w:spacing w:beforeAutospacing="0" w:afterAutospacing="0"/>
        <w:rPr>
          <w:highlight w:val="none"/>
        </w:rPr>
      </w:pPr>
      <w:r>
        <w:rPr>
          <w:highlight w:val="none"/>
        </w:rPr>
      </w:r>
      <w:r/>
    </w:p>
    <w:p>
      <w:pPr>
        <w:jc w:val="center"/>
        <w:spacing w:before="50" w:after="50"/>
        <w:widowControl/>
        <w:rPr>
          <w:rFonts w:hint="eastAsia" w:ascii="黑体" w:hAnsi="黑体" w:eastAsia="黑体" w:cs="黑体"/>
          <w:sz w:val="24"/>
          <w:highlight w:val="none"/>
        </w:rPr>
      </w:pPr>
      <w:r>
        <w:rPr>
          <w:highlight w:val="none"/>
        </w:rPr>
        <w:tab/>
      </w:r>
      <w:r>
        <w:rPr>
          <w:rFonts w:hint="eastAsia" w:ascii="黑体" w:hAnsi="黑体" w:eastAsia="黑体" w:cs="黑体"/>
          <w:color w:val="000000"/>
          <w:sz w:val="32"/>
          <w:szCs w:val="32"/>
          <w:highlight w:val="none"/>
        </w:rPr>
        <w:t xml:space="preserve">十</w:t>
      </w:r>
      <w:r>
        <w:rPr>
          <w:rFonts w:hint="eastAsia" w:ascii="黑体" w:hAnsi="黑体" w:eastAsia="黑体" w:cs="黑体"/>
          <w:color w:val="000000"/>
          <w:sz w:val="32"/>
          <w:szCs w:val="32"/>
          <w:highlight w:val="none"/>
          <w:lang w:eastAsia="zh-CN"/>
        </w:rPr>
        <w:t xml:space="preserve">六</w:t>
      </w:r>
      <w:r>
        <w:rPr>
          <w:rFonts w:hint="eastAsia" w:ascii="黑体" w:hAnsi="黑体" w:eastAsia="黑体" w:cs="黑体"/>
          <w:color w:val="000000"/>
          <w:sz w:val="32"/>
          <w:szCs w:val="32"/>
          <w:highlight w:val="none"/>
        </w:rPr>
        <w:t xml:space="preserve">、其他材料</w:t>
      </w:r>
      <w:r/>
    </w:p>
    <w:p>
      <w:pPr>
        <w:pStyle w:val="856"/>
        <w:jc w:val="center"/>
        <w:spacing w:beforeAutospacing="0" w:afterAutospacing="0"/>
        <w:rPr>
          <w:rFonts w:ascii="宋体" w:hAnsi="宋体" w:eastAsia="宋体" w:cs="宋体"/>
          <w:b/>
          <w:color w:val="000000"/>
          <w:sz w:val="32"/>
          <w:szCs w:val="32"/>
          <w:highlight w:val="none"/>
        </w:rPr>
      </w:pPr>
      <w:r>
        <w:rPr>
          <w:color w:val="000000"/>
        </w:rPr>
        <w:t xml:space="preserve">招标文件中规定要求提供的证明材料和</w:t>
      </w:r>
      <w:r>
        <w:rPr>
          <w:rFonts w:hint="eastAsia" w:ascii="宋体" w:hAnsi="宋体" w:eastAsia="宋体" w:cs="宋体"/>
          <w:color w:val="000000"/>
          <w:sz w:val="24"/>
        </w:rPr>
        <w:t xml:space="preserve">投标人</w:t>
      </w:r>
      <w:r>
        <w:rPr>
          <w:color w:val="000000"/>
        </w:rPr>
        <w:t xml:space="preserve">认为需要提供的</w:t>
      </w:r>
      <w:r/>
    </w:p>
    <w:p>
      <w:pPr>
        <w:pStyle w:val="856"/>
        <w:jc w:val="center"/>
        <w:spacing w:beforeAutospacing="0" w:afterAutospacing="0"/>
        <w:rPr>
          <w:rFonts w:ascii="宋体" w:hAnsi="宋体" w:eastAsia="宋体" w:cs="宋体"/>
          <w:b/>
          <w:color w:val="000000"/>
          <w:sz w:val="32"/>
          <w:szCs w:val="32"/>
          <w:highlight w:val="none"/>
        </w:rPr>
      </w:pPr>
      <w:r>
        <w:rPr>
          <w:rFonts w:ascii="宋体" w:hAnsi="宋体" w:eastAsia="宋体" w:cs="宋体"/>
          <w:b/>
          <w:color w:val="000000"/>
          <w:sz w:val="32"/>
          <w:szCs w:val="32"/>
          <w:highlight w:val="none"/>
        </w:rPr>
      </w:r>
      <w:r/>
    </w:p>
    <w:p>
      <w:pPr>
        <w:pStyle w:val="856"/>
        <w:jc w:val="center"/>
        <w:spacing w:beforeAutospacing="0" w:afterAutospacing="0"/>
        <w:rPr>
          <w:rFonts w:ascii="宋体" w:hAnsi="宋体" w:eastAsia="宋体" w:cs="宋体"/>
          <w:b/>
          <w:color w:val="000000"/>
          <w:sz w:val="32"/>
          <w:szCs w:val="32"/>
          <w:highlight w:val="none"/>
        </w:rPr>
      </w:pPr>
      <w:r>
        <w:rPr>
          <w:rFonts w:ascii="宋体" w:hAnsi="宋体" w:eastAsia="宋体" w:cs="宋体"/>
          <w:b/>
          <w:color w:val="000000"/>
          <w:sz w:val="32"/>
          <w:szCs w:val="32"/>
          <w:highlight w:val="none"/>
        </w:rPr>
      </w:r>
      <w:r/>
    </w:p>
    <w:p>
      <w:pPr>
        <w:pStyle w:val="856"/>
        <w:jc w:val="center"/>
        <w:spacing w:beforeAutospacing="0" w:afterAutospacing="0"/>
        <w:rPr>
          <w:rFonts w:ascii="宋体" w:hAnsi="宋体" w:eastAsia="宋体" w:cs="宋体"/>
          <w:b/>
          <w:color w:val="000000"/>
          <w:sz w:val="32"/>
          <w:szCs w:val="32"/>
          <w:highlight w:val="none"/>
        </w:rPr>
      </w:pPr>
      <w:r>
        <w:rPr>
          <w:rFonts w:ascii="宋体" w:hAnsi="宋体" w:eastAsia="宋体" w:cs="宋体"/>
          <w:b/>
          <w:color w:val="000000"/>
          <w:sz w:val="32"/>
          <w:szCs w:val="32"/>
          <w:highlight w:val="none"/>
        </w:rPr>
      </w:r>
      <w:r/>
    </w:p>
    <w:p>
      <w:pPr>
        <w:pStyle w:val="856"/>
        <w:jc w:val="center"/>
        <w:spacing w:beforeAutospacing="0" w:afterAutospacing="0"/>
        <w:rPr>
          <w:rFonts w:ascii="宋体" w:hAnsi="宋体" w:eastAsia="宋体" w:cs="宋体"/>
          <w:b/>
          <w:color w:val="000000"/>
          <w:sz w:val="32"/>
          <w:szCs w:val="32"/>
          <w:highlight w:val="none"/>
        </w:rPr>
      </w:pPr>
      <w:r>
        <w:rPr>
          <w:rFonts w:ascii="宋体" w:hAnsi="宋体" w:eastAsia="宋体" w:cs="宋体"/>
          <w:b/>
          <w:color w:val="000000"/>
          <w:sz w:val="32"/>
          <w:szCs w:val="32"/>
          <w:highlight w:val="none"/>
        </w:rPr>
      </w:r>
      <w:r/>
    </w:p>
    <w:p>
      <w:pPr>
        <w:pStyle w:val="856"/>
        <w:jc w:val="center"/>
        <w:spacing w:beforeAutospacing="0" w:afterAutospacing="0"/>
        <w:rPr>
          <w:rFonts w:ascii="宋体" w:hAnsi="宋体" w:eastAsia="宋体" w:cs="宋体"/>
          <w:b/>
          <w:color w:val="000000"/>
          <w:sz w:val="32"/>
          <w:szCs w:val="32"/>
          <w:highlight w:val="none"/>
        </w:rPr>
      </w:pPr>
      <w:r>
        <w:rPr>
          <w:rFonts w:ascii="宋体" w:hAnsi="宋体" w:eastAsia="宋体" w:cs="宋体"/>
          <w:b/>
          <w:color w:val="000000"/>
          <w:sz w:val="32"/>
          <w:szCs w:val="32"/>
          <w:highlight w:val="none"/>
        </w:rPr>
      </w:r>
      <w:r/>
    </w:p>
    <w:p>
      <w:pPr>
        <w:pStyle w:val="856"/>
        <w:jc w:val="center"/>
        <w:spacing w:beforeAutospacing="0" w:afterAutospacing="0"/>
        <w:rPr>
          <w:rFonts w:ascii="宋体" w:hAnsi="宋体" w:eastAsia="宋体" w:cs="宋体"/>
          <w:b/>
          <w:color w:val="000000"/>
          <w:sz w:val="32"/>
          <w:szCs w:val="32"/>
          <w:highlight w:val="none"/>
        </w:rPr>
      </w:pPr>
      <w:r>
        <w:rPr>
          <w:rFonts w:ascii="宋体" w:hAnsi="宋体" w:eastAsia="宋体" w:cs="宋体"/>
          <w:b/>
          <w:color w:val="000000"/>
          <w:sz w:val="32"/>
          <w:szCs w:val="32"/>
          <w:highlight w:val="none"/>
        </w:rPr>
      </w:r>
      <w:r/>
    </w:p>
    <w:p>
      <w:pPr>
        <w:pStyle w:val="856"/>
        <w:jc w:val="center"/>
        <w:spacing w:beforeAutospacing="0" w:afterAutospacing="0"/>
        <w:rPr>
          <w:rFonts w:ascii="宋体" w:hAnsi="宋体" w:eastAsia="宋体" w:cs="宋体"/>
          <w:b/>
          <w:color w:val="000000"/>
          <w:sz w:val="32"/>
          <w:szCs w:val="32"/>
          <w:highlight w:val="none"/>
        </w:rPr>
      </w:pPr>
      <w:r>
        <w:rPr>
          <w:rFonts w:ascii="宋体" w:hAnsi="宋体" w:eastAsia="宋体" w:cs="宋体"/>
          <w:b/>
          <w:color w:val="000000"/>
          <w:sz w:val="32"/>
          <w:szCs w:val="32"/>
          <w:highlight w:val="none"/>
        </w:rPr>
      </w:r>
      <w:r/>
    </w:p>
    <w:p>
      <w:pPr>
        <w:pStyle w:val="856"/>
        <w:jc w:val="center"/>
        <w:spacing w:beforeAutospacing="0" w:afterAutospacing="0"/>
        <w:rPr>
          <w:rFonts w:ascii="宋体" w:hAnsi="宋体" w:eastAsia="宋体" w:cs="宋体"/>
          <w:b/>
          <w:color w:val="000000"/>
          <w:sz w:val="32"/>
          <w:szCs w:val="32"/>
          <w:highlight w:val="none"/>
        </w:rPr>
      </w:pPr>
      <w:r>
        <w:rPr>
          <w:rFonts w:ascii="宋体" w:hAnsi="宋体" w:eastAsia="宋体" w:cs="宋体"/>
          <w:b/>
          <w:color w:val="000000"/>
          <w:sz w:val="32"/>
          <w:szCs w:val="32"/>
          <w:highlight w:val="none"/>
        </w:rPr>
      </w:r>
      <w:r/>
    </w:p>
    <w:p>
      <w:pPr>
        <w:pStyle w:val="856"/>
        <w:jc w:val="center"/>
        <w:spacing w:beforeAutospacing="0" w:afterAutospacing="0"/>
        <w:rPr>
          <w:rFonts w:ascii="宋体" w:hAnsi="宋体" w:eastAsia="宋体" w:cs="宋体"/>
          <w:b/>
          <w:color w:val="000000"/>
          <w:sz w:val="32"/>
          <w:szCs w:val="32"/>
          <w:highlight w:val="none"/>
        </w:rPr>
      </w:pPr>
      <w:r>
        <w:rPr>
          <w:rFonts w:ascii="宋体" w:hAnsi="宋体" w:eastAsia="宋体" w:cs="宋体"/>
          <w:b/>
          <w:color w:val="000000"/>
          <w:sz w:val="32"/>
          <w:szCs w:val="32"/>
          <w:highlight w:val="none"/>
        </w:rPr>
      </w:r>
      <w:r/>
    </w:p>
    <w:p>
      <w:pPr>
        <w:pStyle w:val="856"/>
        <w:jc w:val="center"/>
        <w:spacing w:beforeAutospacing="0" w:afterAutospacing="0"/>
        <w:rPr>
          <w:rFonts w:ascii="宋体" w:hAnsi="宋体" w:eastAsia="宋体" w:cs="宋体"/>
          <w:b/>
          <w:color w:val="000000"/>
          <w:sz w:val="32"/>
          <w:szCs w:val="32"/>
          <w:highlight w:val="none"/>
        </w:rPr>
      </w:pPr>
      <w:r>
        <w:rPr>
          <w:rFonts w:ascii="宋体" w:hAnsi="宋体" w:eastAsia="宋体" w:cs="宋体"/>
          <w:b/>
          <w:color w:val="000000"/>
          <w:sz w:val="32"/>
          <w:szCs w:val="32"/>
          <w:highlight w:val="none"/>
        </w:rPr>
      </w:r>
      <w:r/>
    </w:p>
    <w:p>
      <w:pPr>
        <w:pStyle w:val="856"/>
        <w:jc w:val="center"/>
        <w:spacing w:beforeAutospacing="0" w:afterAutospacing="0"/>
        <w:rPr>
          <w:rFonts w:ascii="宋体" w:hAnsi="宋体" w:eastAsia="宋体" w:cs="宋体"/>
          <w:b/>
          <w:color w:val="000000"/>
          <w:sz w:val="32"/>
          <w:szCs w:val="32"/>
          <w:highlight w:val="none"/>
        </w:rPr>
      </w:pPr>
      <w:r>
        <w:rPr>
          <w:rFonts w:ascii="宋体" w:hAnsi="宋体" w:eastAsia="宋体" w:cs="宋体"/>
          <w:b/>
          <w:color w:val="000000"/>
          <w:sz w:val="32"/>
          <w:szCs w:val="32"/>
          <w:highlight w:val="none"/>
        </w:rPr>
      </w:r>
      <w:r/>
    </w:p>
    <w:p>
      <w:pPr>
        <w:pStyle w:val="856"/>
        <w:jc w:val="center"/>
        <w:spacing w:beforeAutospacing="0" w:afterAutospacing="0"/>
        <w:rPr>
          <w:rFonts w:ascii="宋体" w:hAnsi="宋体" w:eastAsia="宋体" w:cs="宋体"/>
          <w:b/>
          <w:color w:val="000000"/>
          <w:sz w:val="32"/>
          <w:szCs w:val="32"/>
          <w:highlight w:val="none"/>
        </w:rPr>
      </w:pPr>
      <w:r>
        <w:rPr>
          <w:rFonts w:ascii="宋体" w:hAnsi="宋体" w:eastAsia="宋体" w:cs="宋体"/>
          <w:b/>
          <w:color w:val="000000"/>
          <w:sz w:val="32"/>
          <w:szCs w:val="32"/>
          <w:highlight w:val="none"/>
        </w:rPr>
      </w:r>
      <w:r/>
    </w:p>
    <w:p>
      <w:pPr>
        <w:pStyle w:val="856"/>
        <w:jc w:val="center"/>
        <w:spacing w:beforeAutospacing="0" w:afterAutospacing="0"/>
        <w:rPr>
          <w:rFonts w:ascii="宋体" w:hAnsi="宋体" w:eastAsia="宋体" w:cs="宋体"/>
          <w:b/>
          <w:color w:val="000000"/>
          <w:sz w:val="32"/>
          <w:szCs w:val="32"/>
          <w:highlight w:val="none"/>
        </w:rPr>
      </w:pPr>
      <w:r>
        <w:rPr>
          <w:rFonts w:ascii="宋体" w:hAnsi="宋体" w:eastAsia="宋体" w:cs="宋体"/>
          <w:b/>
          <w:color w:val="000000"/>
          <w:sz w:val="32"/>
          <w:szCs w:val="32"/>
          <w:highlight w:val="none"/>
        </w:rPr>
      </w:r>
      <w:r/>
    </w:p>
    <w:p>
      <w:pPr>
        <w:pStyle w:val="856"/>
        <w:jc w:val="center"/>
        <w:spacing w:beforeAutospacing="0" w:afterAutospacing="0"/>
        <w:rPr>
          <w:rFonts w:ascii="宋体" w:hAnsi="宋体" w:eastAsia="宋体" w:cs="宋体"/>
          <w:b/>
          <w:color w:val="000000"/>
          <w:sz w:val="32"/>
          <w:szCs w:val="32"/>
          <w:highlight w:val="none"/>
        </w:rPr>
      </w:pPr>
      <w:r>
        <w:rPr>
          <w:rFonts w:ascii="宋体" w:hAnsi="宋体" w:eastAsia="宋体" w:cs="宋体"/>
          <w:b/>
          <w:color w:val="000000"/>
          <w:sz w:val="32"/>
          <w:szCs w:val="32"/>
          <w:highlight w:val="none"/>
        </w:rPr>
      </w:r>
      <w:r/>
    </w:p>
    <w:p>
      <w:pPr>
        <w:pStyle w:val="856"/>
        <w:jc w:val="center"/>
        <w:spacing w:beforeAutospacing="0" w:afterAutospacing="0"/>
        <w:rPr>
          <w:rFonts w:ascii="宋体" w:hAnsi="宋体" w:eastAsia="宋体" w:cs="宋体"/>
          <w:b/>
          <w:color w:val="000000"/>
          <w:sz w:val="32"/>
          <w:szCs w:val="32"/>
          <w:highlight w:val="none"/>
        </w:rPr>
      </w:pPr>
      <w:r>
        <w:rPr>
          <w:rFonts w:ascii="宋体" w:hAnsi="宋体" w:eastAsia="宋体" w:cs="宋体"/>
          <w:b/>
          <w:color w:val="000000"/>
          <w:sz w:val="32"/>
          <w:szCs w:val="32"/>
          <w:highlight w:val="none"/>
        </w:rPr>
      </w:r>
      <w:r/>
    </w:p>
    <w:p>
      <w:pPr>
        <w:pStyle w:val="856"/>
        <w:jc w:val="center"/>
        <w:spacing w:beforeAutospacing="0" w:afterAutospacing="0"/>
        <w:rPr>
          <w:rFonts w:ascii="宋体" w:hAnsi="宋体" w:eastAsia="宋体" w:cs="宋体"/>
          <w:b/>
          <w:color w:val="000000"/>
          <w:sz w:val="32"/>
          <w:szCs w:val="32"/>
          <w:highlight w:val="none"/>
        </w:rPr>
      </w:pPr>
      <w:r>
        <w:rPr>
          <w:rFonts w:ascii="宋体" w:hAnsi="宋体" w:eastAsia="宋体" w:cs="宋体"/>
          <w:b/>
          <w:color w:val="000000"/>
          <w:sz w:val="32"/>
          <w:szCs w:val="32"/>
          <w:highlight w:val="none"/>
        </w:rPr>
      </w:r>
      <w:r/>
    </w:p>
    <w:p>
      <w:pPr>
        <w:pStyle w:val="856"/>
        <w:jc w:val="center"/>
        <w:spacing w:beforeAutospacing="0" w:afterAutospacing="0"/>
        <w:rPr>
          <w:rFonts w:ascii="宋体" w:hAnsi="宋体" w:eastAsia="宋体" w:cs="宋体"/>
          <w:b/>
          <w:color w:val="000000"/>
          <w:sz w:val="32"/>
          <w:szCs w:val="32"/>
          <w:highlight w:val="none"/>
        </w:rPr>
      </w:pPr>
      <w:r>
        <w:rPr>
          <w:rFonts w:ascii="宋体" w:hAnsi="宋体" w:eastAsia="宋体" w:cs="宋体"/>
          <w:b/>
          <w:color w:val="000000"/>
          <w:sz w:val="32"/>
          <w:szCs w:val="32"/>
          <w:highlight w:val="none"/>
        </w:rPr>
      </w:r>
      <w:r/>
    </w:p>
    <w:p>
      <w:pPr>
        <w:pStyle w:val="856"/>
        <w:jc w:val="center"/>
        <w:spacing w:beforeAutospacing="0" w:afterAutospacing="0"/>
        <w:rPr>
          <w:rFonts w:ascii="宋体" w:hAnsi="宋体" w:eastAsia="宋体" w:cs="宋体"/>
          <w:b/>
          <w:color w:val="000000"/>
          <w:sz w:val="32"/>
          <w:szCs w:val="32"/>
          <w:highlight w:val="none"/>
        </w:rPr>
      </w:pPr>
      <w:r>
        <w:rPr>
          <w:rFonts w:ascii="宋体" w:hAnsi="宋体" w:eastAsia="宋体" w:cs="宋体"/>
          <w:b/>
          <w:color w:val="000000"/>
          <w:sz w:val="32"/>
          <w:szCs w:val="32"/>
          <w:highlight w:val="none"/>
        </w:rPr>
      </w:r>
      <w:r/>
    </w:p>
    <w:p>
      <w:pPr>
        <w:pStyle w:val="856"/>
        <w:jc w:val="center"/>
        <w:spacing w:beforeAutospacing="0" w:afterAutospacing="0"/>
        <w:rPr>
          <w:rFonts w:ascii="宋体" w:hAnsi="宋体" w:eastAsia="宋体" w:cs="宋体"/>
          <w:b/>
          <w:color w:val="000000"/>
          <w:sz w:val="32"/>
          <w:szCs w:val="32"/>
          <w:highlight w:val="none"/>
        </w:rPr>
      </w:pPr>
      <w:r>
        <w:rPr>
          <w:rFonts w:ascii="宋体" w:hAnsi="宋体" w:eastAsia="宋体" w:cs="宋体"/>
          <w:b/>
          <w:color w:val="000000"/>
          <w:sz w:val="32"/>
          <w:szCs w:val="32"/>
          <w:highlight w:val="none"/>
        </w:rPr>
      </w:r>
      <w:r/>
    </w:p>
    <w:p>
      <w:pPr>
        <w:pStyle w:val="856"/>
        <w:jc w:val="center"/>
        <w:spacing w:beforeAutospacing="0" w:afterAutospacing="0"/>
        <w:rPr>
          <w:rFonts w:ascii="宋体" w:hAnsi="宋体" w:eastAsia="宋体" w:cs="宋体"/>
          <w:b/>
          <w:color w:val="000000"/>
          <w:sz w:val="32"/>
          <w:szCs w:val="32"/>
          <w:highlight w:val="none"/>
        </w:rPr>
      </w:pPr>
      <w:r>
        <w:rPr>
          <w:rFonts w:ascii="宋体" w:hAnsi="宋体" w:eastAsia="宋体" w:cs="宋体"/>
          <w:b/>
          <w:color w:val="000000"/>
          <w:sz w:val="32"/>
          <w:szCs w:val="32"/>
          <w:highlight w:val="none"/>
        </w:rPr>
      </w:r>
      <w:r/>
    </w:p>
    <w:p>
      <w:pPr>
        <w:ind w:left="0" w:firstLine="0"/>
        <w:jc w:val="center"/>
        <w:spacing w:line="499" w:lineRule="atLeast"/>
        <w:widowControl/>
        <w:rPr>
          <w:rFonts w:hint="eastAsia" w:ascii="黑体" w:hAnsi="黑体" w:eastAsia="黑体" w:cs="黑体"/>
          <w:sz w:val="24"/>
          <w:highlight w:val="none"/>
        </w:rPr>
      </w:pPr>
      <w:r>
        <w:rPr>
          <w:rFonts w:hint="eastAsia" w:ascii="黑体" w:hAnsi="黑体" w:eastAsia="黑体" w:cs="黑体"/>
          <w:color w:val="000000"/>
          <w:sz w:val="32"/>
          <w:szCs w:val="32"/>
          <w:highlight w:val="none"/>
        </w:rPr>
        <w:t xml:space="preserve">十</w:t>
      </w:r>
      <w:r>
        <w:rPr>
          <w:rFonts w:hint="eastAsia" w:ascii="黑体" w:hAnsi="黑体" w:eastAsia="黑体" w:cs="黑体"/>
          <w:color w:val="000000"/>
          <w:sz w:val="32"/>
          <w:szCs w:val="32"/>
          <w:highlight w:val="none"/>
          <w:lang w:eastAsia="zh-CN"/>
        </w:rPr>
        <w:t xml:space="preserve">七</w:t>
      </w:r>
      <w:r>
        <w:rPr>
          <w:rFonts w:hint="eastAsia" w:ascii="黑体" w:hAnsi="黑体" w:eastAsia="黑体" w:cs="黑体"/>
          <w:color w:val="000000"/>
          <w:sz w:val="32"/>
          <w:szCs w:val="32"/>
          <w:highlight w:val="none"/>
        </w:rPr>
        <w:t xml:space="preserve">、盐城市政府采购事前信用承诺书</w:t>
      </w:r>
      <w:r/>
    </w:p>
    <w:p>
      <w:pPr>
        <w:ind w:firstLine="480"/>
        <w:jc w:val="left"/>
        <w:spacing w:line="499" w:lineRule="atLeast"/>
        <w:widowControl/>
        <w:rPr>
          <w:rFonts w:hint="eastAsia" w:ascii="宋体" w:hAnsi="宋体" w:eastAsia="宋体" w:cs="宋体"/>
          <w:sz w:val="24"/>
          <w:highlight w:val="none"/>
        </w:rPr>
      </w:pPr>
      <w:r>
        <w:rPr>
          <w:rFonts w:hint="eastAsia" w:ascii="宋体" w:hAnsi="宋体" w:eastAsia="宋体" w:cs="宋体"/>
          <w:color w:val="000000"/>
          <w:sz w:val="24"/>
          <w:highlight w:val="none"/>
        </w:rPr>
        <w:t xml:space="preserve">为营造我市公开、公平、公正、诚实守信的政府采购交易环境，树立诚信守法的投标人形象，本人代表本单位作出以下承诺：</w:t>
      </w:r>
      <w:r/>
    </w:p>
    <w:p>
      <w:pPr>
        <w:jc w:val="left"/>
        <w:spacing w:line="499" w:lineRule="atLeast"/>
        <w:widowControl/>
        <w:rPr>
          <w:rFonts w:hint="eastAsia" w:ascii="宋体" w:hAnsi="宋体" w:eastAsia="宋体" w:cs="宋体"/>
          <w:sz w:val="24"/>
          <w:highlight w:val="none"/>
        </w:rPr>
      </w:pPr>
      <w:r>
        <w:rPr>
          <w:rFonts w:hint="eastAsia" w:ascii="宋体" w:hAnsi="宋体" w:eastAsia="宋体" w:cs="宋体"/>
          <w:color w:val="000000"/>
          <w:sz w:val="24"/>
          <w:highlight w:val="none"/>
        </w:rPr>
        <w:t xml:space="preserve">  （一）本单位对所提交的企（事）业单位基本信息、企（事）业负责人、项目负责人、技术负责人、从业资质和资格、业绩、财务状况、信誉等所有资料，均合法、真实、准确、有效，无任何伪造、修改、虚假成份，并对所提供资料的真实性负责；</w:t>
      </w:r>
      <w:r/>
    </w:p>
    <w:p>
      <w:pPr>
        <w:ind w:firstLine="480"/>
        <w:jc w:val="left"/>
        <w:spacing w:line="499" w:lineRule="atLeast"/>
        <w:widowControl/>
        <w:rPr>
          <w:rFonts w:hint="eastAsia" w:ascii="宋体" w:hAnsi="宋体" w:eastAsia="宋体" w:cs="宋体"/>
          <w:sz w:val="24"/>
          <w:highlight w:val="none"/>
        </w:rPr>
      </w:pPr>
      <w:r>
        <w:rPr>
          <w:rFonts w:hint="eastAsia" w:ascii="宋体" w:hAnsi="宋体" w:eastAsia="宋体" w:cs="宋体"/>
          <w:color w:val="000000"/>
          <w:sz w:val="24"/>
          <w:highlight w:val="none"/>
        </w:rPr>
        <w:t xml:space="preserve">（二）本单位无涉及政府采购活动的违法、违规不良记录，我公司及相关负责人无因存在重大隐患整改不力、发生有重大社会影响生产安全事故或其他严重违法违规行为而被列入失信联合惩戒的不良记录；</w:t>
      </w:r>
      <w:r/>
    </w:p>
    <w:p>
      <w:pPr>
        <w:jc w:val="left"/>
        <w:spacing w:line="499" w:lineRule="atLeast"/>
        <w:widowControl/>
        <w:rPr>
          <w:rFonts w:hint="eastAsia" w:ascii="宋体" w:hAnsi="宋体" w:eastAsia="宋体" w:cs="宋体"/>
          <w:sz w:val="24"/>
          <w:highlight w:val="none"/>
        </w:rPr>
      </w:pPr>
      <w:r>
        <w:rPr>
          <w:rFonts w:hint="eastAsia" w:ascii="宋体" w:hAnsi="宋体" w:eastAsia="宋体" w:cs="宋体"/>
          <w:color w:val="000000"/>
          <w:sz w:val="24"/>
          <w:highlight w:val="none"/>
        </w:rPr>
        <w:t xml:space="preserve">  （三）严格依照国家和省、市关于政府采购的法律、法规、规章、规范性文件，参加政府采购投标活动；积极履行社会责任，促进廉政建设； </w:t>
      </w:r>
      <w:r/>
    </w:p>
    <w:p>
      <w:pPr>
        <w:jc w:val="left"/>
        <w:spacing w:line="499" w:lineRule="atLeast"/>
        <w:widowControl/>
        <w:rPr>
          <w:rFonts w:hint="eastAsia" w:ascii="宋体" w:hAnsi="宋体" w:eastAsia="宋体" w:cs="宋体"/>
          <w:sz w:val="24"/>
          <w:highlight w:val="none"/>
        </w:rPr>
      </w:pPr>
      <w:r>
        <w:rPr>
          <w:rFonts w:hint="eastAsia" w:ascii="宋体" w:hAnsi="宋体" w:eastAsia="宋体" w:cs="宋体"/>
          <w:color w:val="000000"/>
          <w:sz w:val="24"/>
          <w:highlight w:val="none"/>
        </w:rPr>
        <w:t xml:space="preserve">  （四）严格遵守即时信息公示规定，及时维护和更新维护和更新盐城市政府采购网中与本单位相关的信息；</w:t>
      </w:r>
      <w:r/>
    </w:p>
    <w:p>
      <w:pPr>
        <w:jc w:val="left"/>
        <w:spacing w:line="499" w:lineRule="atLeast"/>
        <w:widowControl/>
        <w:rPr>
          <w:rFonts w:hint="eastAsia" w:ascii="宋体" w:hAnsi="宋体" w:eastAsia="宋体" w:cs="宋体"/>
          <w:sz w:val="24"/>
          <w:highlight w:val="none"/>
        </w:rPr>
      </w:pPr>
      <w:r>
        <w:rPr>
          <w:rFonts w:hint="eastAsia" w:ascii="宋体" w:hAnsi="宋体" w:eastAsia="宋体" w:cs="宋体"/>
          <w:color w:val="000000"/>
          <w:sz w:val="24"/>
          <w:highlight w:val="none"/>
        </w:rPr>
        <w:t xml:space="preserve">  （五）自我约束、自我管理，守合同、重信用，自觉维护政府采购交易的良好秩序，与参与本次政府采购活动的其他供应商不存在直接控股或管理关系，不参与围标串标、弄虚作假、骗取中标、干扰评标、违约毁约等行为；</w:t>
      </w:r>
      <w:r/>
    </w:p>
    <w:p>
      <w:pPr>
        <w:jc w:val="left"/>
        <w:spacing w:line="499" w:lineRule="atLeast"/>
        <w:widowControl/>
        <w:rPr>
          <w:rFonts w:hint="eastAsia" w:ascii="宋体" w:hAnsi="宋体" w:eastAsia="宋体" w:cs="宋体"/>
          <w:sz w:val="24"/>
          <w:highlight w:val="none"/>
        </w:rPr>
      </w:pPr>
      <w:r>
        <w:rPr>
          <w:rFonts w:hint="eastAsia" w:ascii="宋体" w:hAnsi="宋体" w:eastAsia="宋体" w:cs="宋体"/>
          <w:color w:val="000000"/>
          <w:sz w:val="24"/>
          <w:highlight w:val="none"/>
        </w:rPr>
        <w:t xml:space="preserve">  （六）自觉接受政府、行业组织、社会公众、新闻舆论的监督；</w:t>
      </w:r>
      <w:r/>
    </w:p>
    <w:p>
      <w:pPr>
        <w:ind w:firstLine="480"/>
        <w:jc w:val="left"/>
        <w:spacing w:line="499" w:lineRule="atLeast"/>
        <w:widowControl/>
        <w:rPr>
          <w:rFonts w:hint="eastAsia" w:ascii="宋体" w:hAnsi="宋体" w:eastAsia="宋体" w:cs="宋体"/>
          <w:sz w:val="24"/>
          <w:highlight w:val="none"/>
        </w:rPr>
      </w:pPr>
      <w:r>
        <w:rPr>
          <w:rFonts w:hint="eastAsia" w:ascii="宋体" w:hAnsi="宋体" w:eastAsia="宋体" w:cs="宋体"/>
          <w:color w:val="000000"/>
          <w:sz w:val="24"/>
          <w:highlight w:val="none"/>
        </w:rPr>
        <w:t xml:space="preserve">（七）本单位自愿接受政府采购监督管理机构和有关行政监督部门的依法检查。如发生违法违规或不良失信行为，自愿接受政府采购监督管理机构和有关行政监督部门依法给予的行政处罚（处理），并依法承担相应责任；</w:t>
      </w:r>
      <w:r/>
    </w:p>
    <w:p>
      <w:pPr>
        <w:jc w:val="left"/>
        <w:spacing w:line="499" w:lineRule="atLeast"/>
        <w:widowControl/>
        <w:rPr>
          <w:rFonts w:hint="eastAsia" w:ascii="宋体" w:hAnsi="宋体" w:eastAsia="宋体" w:cs="宋体"/>
          <w:sz w:val="24"/>
          <w:highlight w:val="none"/>
        </w:rPr>
      </w:pPr>
      <w:r>
        <w:rPr>
          <w:rFonts w:hint="eastAsia" w:ascii="宋体" w:hAnsi="宋体" w:eastAsia="宋体" w:cs="宋体"/>
          <w:color w:val="000000"/>
          <w:sz w:val="24"/>
          <w:highlight w:val="none"/>
        </w:rPr>
        <w:t xml:space="preserve">  （八）本人已认真阅读了上述承诺，并向本单位员工作了宣传教育。</w:t>
      </w:r>
      <w:r/>
    </w:p>
    <w:p>
      <w:pPr>
        <w:jc w:val="left"/>
        <w:spacing w:line="499" w:lineRule="atLeast"/>
        <w:widowControl/>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                  </w:t>
      </w:r>
      <w:r/>
    </w:p>
    <w:p>
      <w:pPr>
        <w:jc w:val="center"/>
        <w:spacing w:line="499" w:lineRule="atLeast"/>
        <w:widowControl/>
        <w:rPr>
          <w:rFonts w:hint="eastAsia" w:ascii="宋体" w:hAnsi="宋体" w:eastAsia="宋体" w:cs="宋体"/>
          <w:color w:val="000000"/>
          <w:sz w:val="24"/>
          <w:highlight w:val="none"/>
        </w:rPr>
      </w:pPr>
      <w:r>
        <w:rPr>
          <w:rFonts w:hint="eastAsia" w:ascii="宋体" w:hAnsi="宋体" w:eastAsia="宋体" w:cs="宋体"/>
          <w:color w:val="000000"/>
          <w:sz w:val="24"/>
          <w:highlight w:val="none"/>
          <w:lang w:val="en-US" w:eastAsia="zh-CN"/>
        </w:rPr>
        <w:t xml:space="preserve">                              </w:t>
      </w:r>
      <w:r>
        <w:rPr>
          <w:rFonts w:hint="eastAsia" w:ascii="宋体" w:hAnsi="宋体" w:eastAsia="宋体" w:cs="宋体"/>
          <w:color w:val="000000"/>
          <w:sz w:val="24"/>
          <w:highlight w:val="none"/>
        </w:rPr>
        <w:t xml:space="preserve">法定代表人签名：</w:t>
      </w:r>
      <w:r/>
    </w:p>
    <w:p>
      <w:pPr>
        <w:jc w:val="center"/>
        <w:spacing w:line="499" w:lineRule="atLeast"/>
        <w:widowControl/>
        <w:rPr>
          <w:rFonts w:hint="eastAsia" w:ascii="宋体" w:hAnsi="宋体" w:eastAsia="宋体" w:cs="宋体"/>
          <w:sz w:val="24"/>
          <w:highlight w:val="none"/>
        </w:rPr>
      </w:pPr>
      <w:r>
        <w:rPr>
          <w:rFonts w:hint="eastAsia" w:ascii="宋体" w:hAnsi="宋体" w:eastAsia="宋体" w:cs="宋体"/>
          <w:color w:val="000000"/>
          <w:sz w:val="24"/>
          <w:highlight w:val="none"/>
          <w:lang w:val="en-US" w:eastAsia="zh-CN"/>
        </w:rPr>
        <w:t xml:space="preserve">                                </w:t>
      </w:r>
      <w:r>
        <w:rPr>
          <w:rFonts w:hint="eastAsia" w:ascii="宋体" w:hAnsi="宋体" w:eastAsia="宋体" w:cs="宋体"/>
          <w:color w:val="000000"/>
          <w:sz w:val="24"/>
          <w:highlight w:val="none"/>
        </w:rPr>
        <w:t xml:space="preserve">单位名称（盖章）：</w:t>
      </w:r>
      <w:r/>
    </w:p>
    <w:p>
      <w:pPr>
        <w:jc w:val="center"/>
        <w:spacing w:line="499" w:lineRule="atLeast"/>
        <w:widowControl/>
        <w:rPr>
          <w:rFonts w:hint="eastAsia" w:ascii="宋体" w:hAnsi="宋体" w:eastAsia="宋体" w:cs="宋体"/>
          <w:sz w:val="24"/>
          <w:highlight w:val="none"/>
        </w:rPr>
      </w:pPr>
      <w:r>
        <w:rPr>
          <w:rFonts w:hint="eastAsia" w:ascii="宋体" w:hAnsi="宋体" w:eastAsia="宋体" w:cs="宋体"/>
          <w:color w:val="000000"/>
          <w:sz w:val="24"/>
          <w:highlight w:val="none"/>
        </w:rPr>
        <w:t xml:space="preserve">                      年</w:t>
      </w:r>
      <w:r>
        <w:rPr>
          <w:rFonts w:hint="eastAsia" w:ascii="宋体" w:hAnsi="宋体" w:eastAsia="宋体" w:cs="宋体"/>
          <w:color w:val="000000"/>
          <w:sz w:val="24"/>
          <w:highlight w:val="none"/>
          <w:lang w:val="en-US" w:eastAsia="zh-CN"/>
        </w:rPr>
        <w:t xml:space="preserve">   </w:t>
      </w:r>
      <w:r>
        <w:rPr>
          <w:rFonts w:hint="eastAsia" w:ascii="宋体" w:hAnsi="宋体" w:eastAsia="宋体" w:cs="宋体"/>
          <w:color w:val="000000"/>
          <w:sz w:val="24"/>
          <w:highlight w:val="none"/>
        </w:rPr>
        <w:t xml:space="preserve">月</w:t>
      </w:r>
      <w:r>
        <w:rPr>
          <w:rFonts w:hint="eastAsia" w:ascii="宋体" w:hAnsi="宋体" w:eastAsia="宋体" w:cs="宋体"/>
          <w:color w:val="000000"/>
          <w:sz w:val="24"/>
          <w:highlight w:val="none"/>
          <w:lang w:val="en-US" w:eastAsia="zh-CN"/>
        </w:rPr>
        <w:t xml:space="preserve">   </w:t>
      </w:r>
      <w:r>
        <w:rPr>
          <w:rFonts w:hint="eastAsia" w:ascii="宋体" w:hAnsi="宋体" w:eastAsia="宋体" w:cs="宋体"/>
          <w:color w:val="000000"/>
          <w:sz w:val="24"/>
          <w:highlight w:val="none"/>
        </w:rPr>
        <w:t xml:space="preserve">日</w:t>
      </w:r>
      <w:r/>
    </w:p>
    <w:p>
      <w:pPr>
        <w:pStyle w:val="856"/>
        <w:jc w:val="center"/>
        <w:spacing w:beforeAutospacing="0" w:afterAutospacing="0"/>
        <w:rPr>
          <w:highlight w:val="none"/>
        </w:rPr>
      </w:pPr>
      <w:r>
        <w:rPr>
          <w:highlight w:val="none"/>
        </w:rPr>
      </w:r>
      <w:r/>
    </w:p>
    <w:p>
      <w:pPr>
        <w:pStyle w:val="856"/>
        <w:jc w:val="center"/>
        <w:spacing w:beforeAutospacing="0" w:afterAutospacing="0"/>
        <w:rPr>
          <w:highlight w:val="none"/>
        </w:rPr>
      </w:pPr>
      <w:r>
        <w:rPr>
          <w:highlight w:val="none"/>
        </w:rPr>
      </w:r>
      <w:bookmarkEnd w:id="6"/>
      <w:r/>
      <w:bookmarkEnd w:id="48"/>
      <w:r/>
      <w:bookmarkEnd w:id="95"/>
      <w:r/>
      <w:bookmarkEnd w:id="96"/>
      <w:r/>
      <w:bookmarkEnd w:id="97"/>
      <w:r/>
      <w:bookmarkEnd w:id="98"/>
      <w:r/>
      <w:bookmarkEnd w:id="99"/>
      <w:r/>
      <w:bookmarkEnd w:id="100"/>
      <w:r/>
      <w:bookmarkEnd w:id="101"/>
      <w:r/>
      <w:bookmarkEnd w:id="102"/>
      <w:r/>
      <w:bookmarkEnd w:id="111"/>
      <w:r/>
      <w:bookmarkEnd w:id="112"/>
      <w:r/>
      <w:bookmarkEnd w:id="119"/>
      <w:r/>
      <w:bookmarkEnd w:id="166"/>
      <w:r/>
      <w:bookmarkEnd w:id="172"/>
      <w:r/>
      <w:bookmarkEnd w:id="184"/>
      <w:r/>
      <w:bookmarkEnd w:id="185"/>
      <w:r/>
      <w:bookmarkEnd w:id="186"/>
      <w:r/>
      <w:bookmarkEnd w:id="187"/>
      <w:r/>
      <w:bookmarkEnd w:id="188"/>
      <w:r/>
      <w:bookmarkEnd w:id="189"/>
      <w:r/>
      <w:bookmarkEnd w:id="190"/>
      <w:r/>
      <w:bookmarkEnd w:id="191"/>
      <w:r/>
      <w:bookmarkEnd w:id="192"/>
      <w:r/>
      <w:bookmarkEnd w:id="193"/>
      <w:r/>
      <w:bookmarkEnd w:id="194"/>
      <w:r/>
      <w:bookmarkEnd w:id="195"/>
      <w:r/>
      <w:bookmarkEnd w:id="196"/>
      <w:r/>
      <w:r/>
    </w:p>
    <w:p>
      <w:pPr>
        <w:pStyle w:val="856"/>
        <w:jc w:val="center"/>
        <w:spacing w:beforeAutospacing="0" w:afterAutospacing="0"/>
        <w:rPr>
          <w:rFonts w:ascii="宋体" w:hAnsi="宋体" w:eastAsia="宋体" w:cs="宋体"/>
          <w:b/>
          <w:color w:val="000000"/>
          <w:sz w:val="32"/>
          <w:szCs w:val="32"/>
          <w:highlight w:val="none"/>
        </w:rPr>
      </w:pPr>
      <w:r>
        <w:rPr>
          <w:rFonts w:hint="eastAsia" w:ascii="宋体" w:hAnsi="宋体" w:eastAsia="宋体" w:cs="宋体"/>
          <w:b/>
          <w:color w:val="000000"/>
          <w:sz w:val="32"/>
          <w:szCs w:val="32"/>
          <w:highlight w:val="none"/>
        </w:rPr>
        <w:t xml:space="preserve">质疑函范本</w:t>
      </w:r>
      <w:r/>
    </w:p>
    <w:p>
      <w:pPr>
        <w:pStyle w:val="856"/>
        <w:jc w:val="both"/>
        <w:spacing w:before="290" w:beforeAutospacing="0" w:afterAutospacing="0" w:line="360" w:lineRule="auto"/>
        <w:rPr>
          <w:rFonts w:ascii="宋体" w:hAnsi="宋体" w:eastAsia="宋体" w:cs="宋体"/>
          <w:highlight w:val="none"/>
        </w:rPr>
      </w:pPr>
      <w:r>
        <w:rPr>
          <w:rFonts w:hint="eastAsia" w:ascii="宋体" w:hAnsi="宋体" w:eastAsia="宋体" w:cs="宋体"/>
          <w:color w:val="000000"/>
          <w:highlight w:val="none"/>
        </w:rPr>
        <w:t xml:space="preserve">一、质疑供应商基本信息</w:t>
      </w:r>
      <w:r/>
    </w:p>
    <w:p>
      <w:pPr>
        <w:pStyle w:val="856"/>
        <w:jc w:val="both"/>
        <w:spacing w:beforeAutospacing="0" w:afterAutospacing="0" w:line="360" w:lineRule="auto"/>
        <w:rPr>
          <w:rFonts w:ascii="宋体" w:hAnsi="宋体" w:eastAsia="宋体" w:cs="宋体"/>
          <w:highlight w:val="none"/>
        </w:rPr>
      </w:pPr>
      <w:r>
        <w:rPr>
          <w:rFonts w:hint="eastAsia" w:ascii="宋体" w:hAnsi="宋体" w:eastAsia="宋体" w:cs="宋体"/>
          <w:color w:val="000000"/>
          <w:highlight w:val="none"/>
        </w:rPr>
        <w:t xml:space="preserve">质疑供应商：</w:t>
      </w:r>
      <w:r>
        <w:rPr>
          <w:rFonts w:hint="eastAsia" w:ascii="宋体" w:hAnsi="宋体" w:eastAsia="宋体" w:cs="宋体"/>
          <w:color w:val="000000"/>
          <w:highlight w:val="none"/>
          <w:u w:val="single"/>
        </w:rPr>
        <w:t xml:space="preserve">                    </w:t>
      </w:r>
      <w:r>
        <w:rPr>
          <w:rFonts w:hint="eastAsia" w:ascii="宋体" w:hAnsi="宋体" w:eastAsia="宋体" w:cs="宋体"/>
          <w:color w:val="000000"/>
          <w:highlight w:val="none"/>
          <w:u w:val="single"/>
        </w:rPr>
        <w:tab/>
      </w:r>
      <w:r>
        <w:rPr>
          <w:rFonts w:hint="eastAsia" w:ascii="宋体" w:hAnsi="宋体" w:eastAsia="宋体" w:cs="宋体"/>
          <w:color w:val="000000"/>
          <w:highlight w:val="none"/>
          <w:u w:val="single"/>
        </w:rPr>
        <w:t xml:space="preserve"> </w:t>
      </w:r>
      <w:r>
        <w:rPr>
          <w:rFonts w:hint="eastAsia" w:ascii="宋体" w:hAnsi="宋体" w:eastAsia="宋体" w:cs="宋体"/>
          <w:color w:val="000000"/>
          <w:highlight w:val="none"/>
          <w:u w:val="single"/>
        </w:rPr>
        <w:tab/>
      </w:r>
      <w:r>
        <w:rPr>
          <w:rFonts w:hint="eastAsia" w:ascii="宋体" w:hAnsi="宋体" w:eastAsia="宋体" w:cs="宋体"/>
          <w:color w:val="000000"/>
          <w:highlight w:val="none"/>
          <w:u w:val="single"/>
        </w:rPr>
        <w:t xml:space="preserve">       </w:t>
      </w:r>
      <w:r/>
    </w:p>
    <w:p>
      <w:pPr>
        <w:pStyle w:val="856"/>
        <w:jc w:val="both"/>
        <w:spacing w:beforeAutospacing="0" w:afterAutospacing="0" w:line="360" w:lineRule="auto"/>
        <w:rPr>
          <w:rFonts w:ascii="宋体" w:hAnsi="宋体" w:eastAsia="宋体" w:cs="宋体"/>
          <w:color w:val="000000"/>
          <w:highlight w:val="none"/>
          <w:u w:val="single"/>
        </w:rPr>
      </w:pPr>
      <w:r>
        <w:rPr>
          <w:rFonts w:hint="eastAsia" w:ascii="宋体" w:hAnsi="宋体" w:eastAsia="宋体" w:cs="宋体"/>
          <w:color w:val="000000"/>
          <w:highlight w:val="none"/>
        </w:rPr>
        <w:t xml:space="preserve">地址：</w:t>
      </w:r>
      <w:r>
        <w:rPr>
          <w:rFonts w:hint="eastAsia" w:ascii="宋体" w:hAnsi="宋体" w:eastAsia="宋体" w:cs="宋体"/>
          <w:color w:val="000000"/>
          <w:highlight w:val="none"/>
          <w:u w:val="single"/>
        </w:rPr>
        <w:t xml:space="preserve">                      </w:t>
      </w:r>
      <w:r>
        <w:rPr>
          <w:rFonts w:hint="eastAsia" w:ascii="宋体" w:hAnsi="宋体" w:eastAsia="宋体" w:cs="宋体"/>
          <w:color w:val="000000"/>
          <w:highlight w:val="none"/>
          <w:u w:val="single"/>
        </w:rPr>
        <w:tab/>
      </w:r>
      <w:r>
        <w:rPr>
          <w:rFonts w:hint="eastAsia" w:ascii="宋体" w:hAnsi="宋体" w:eastAsia="宋体" w:cs="宋体"/>
          <w:color w:val="000000"/>
          <w:highlight w:val="none"/>
          <w:u w:val="single"/>
        </w:rPr>
        <w:tab/>
      </w:r>
      <w:r>
        <w:rPr>
          <w:rFonts w:hint="eastAsia" w:ascii="宋体" w:hAnsi="宋体" w:eastAsia="宋体" w:cs="宋体"/>
          <w:color w:val="000000"/>
          <w:highlight w:val="none"/>
          <w:u w:val="single"/>
        </w:rPr>
        <w:tab/>
      </w:r>
      <w:r>
        <w:rPr>
          <w:rFonts w:hint="eastAsia" w:ascii="宋体" w:hAnsi="宋体" w:eastAsia="宋体" w:cs="宋体"/>
          <w:color w:val="000000"/>
          <w:highlight w:val="none"/>
          <w:u w:val="single"/>
        </w:rPr>
        <w:t xml:space="preserve">      </w:t>
      </w:r>
      <w:r/>
    </w:p>
    <w:p>
      <w:pPr>
        <w:pStyle w:val="856"/>
        <w:jc w:val="both"/>
        <w:spacing w:beforeAutospacing="0" w:afterAutospacing="0" w:line="360" w:lineRule="auto"/>
        <w:rPr>
          <w:rFonts w:ascii="宋体" w:hAnsi="宋体" w:eastAsia="宋体" w:cs="宋体"/>
          <w:highlight w:val="none"/>
        </w:rPr>
      </w:pPr>
      <w:r>
        <w:rPr>
          <w:rFonts w:hint="eastAsia" w:ascii="宋体" w:hAnsi="宋体" w:eastAsia="宋体" w:cs="宋体"/>
          <w:color w:val="000000"/>
          <w:highlight w:val="none"/>
        </w:rPr>
        <w:t xml:space="preserve">邮编：</w:t>
      </w:r>
      <w:r>
        <w:rPr>
          <w:rFonts w:hint="eastAsia" w:ascii="宋体" w:hAnsi="宋体" w:eastAsia="宋体" w:cs="宋体"/>
          <w:color w:val="000000"/>
          <w:highlight w:val="none"/>
          <w:u w:val="single"/>
        </w:rPr>
        <w:t xml:space="preserve">                       </w:t>
      </w:r>
      <w:r>
        <w:rPr>
          <w:rFonts w:hint="eastAsia" w:ascii="宋体" w:hAnsi="宋体" w:eastAsia="宋体" w:cs="宋体"/>
          <w:color w:val="000000"/>
          <w:highlight w:val="none"/>
          <w:u w:val="single"/>
        </w:rPr>
        <w:tab/>
      </w:r>
      <w:r>
        <w:rPr>
          <w:rFonts w:hint="eastAsia" w:ascii="宋体" w:hAnsi="宋体" w:eastAsia="宋体" w:cs="宋体"/>
          <w:color w:val="000000"/>
          <w:highlight w:val="none"/>
          <w:u w:val="single"/>
        </w:rPr>
        <w:tab/>
      </w:r>
      <w:r>
        <w:rPr>
          <w:rFonts w:hint="eastAsia" w:ascii="宋体" w:hAnsi="宋体" w:eastAsia="宋体" w:cs="宋体"/>
          <w:color w:val="000000"/>
          <w:highlight w:val="none"/>
          <w:u w:val="single"/>
        </w:rPr>
        <w:t xml:space="preserve">        </w:t>
      </w:r>
      <w:r/>
    </w:p>
    <w:p>
      <w:pPr>
        <w:pStyle w:val="856"/>
        <w:jc w:val="both"/>
        <w:spacing w:beforeAutospacing="0" w:afterAutospacing="0" w:line="360" w:lineRule="auto"/>
        <w:rPr>
          <w:rFonts w:ascii="宋体" w:hAnsi="宋体" w:eastAsia="宋体" w:cs="宋体"/>
          <w:color w:val="000000"/>
          <w:highlight w:val="none"/>
          <w:u w:val="single"/>
        </w:rPr>
      </w:pPr>
      <w:r>
        <w:rPr>
          <w:rFonts w:hint="eastAsia" w:ascii="宋体" w:hAnsi="宋体" w:eastAsia="宋体" w:cs="宋体"/>
          <w:color w:val="000000"/>
          <w:highlight w:val="none"/>
        </w:rPr>
        <w:t xml:space="preserve">联系人：</w:t>
      </w:r>
      <w:r>
        <w:rPr>
          <w:rFonts w:hint="eastAsia" w:ascii="宋体" w:hAnsi="宋体" w:eastAsia="宋体" w:cs="宋体"/>
          <w:color w:val="000000"/>
          <w:highlight w:val="none"/>
          <w:u w:val="single"/>
        </w:rPr>
        <w:t xml:space="preserve">               </w:t>
      </w:r>
      <w:r>
        <w:rPr>
          <w:rFonts w:hint="eastAsia" w:ascii="宋体" w:hAnsi="宋体" w:eastAsia="宋体" w:cs="宋体"/>
          <w:color w:val="000000"/>
          <w:highlight w:val="none"/>
          <w:u w:val="single"/>
        </w:rPr>
        <w:tab/>
      </w:r>
      <w:r>
        <w:rPr>
          <w:rFonts w:hint="eastAsia" w:ascii="宋体" w:hAnsi="宋体" w:eastAsia="宋体" w:cs="宋体"/>
          <w:color w:val="000000"/>
          <w:highlight w:val="none"/>
          <w:u w:val="single"/>
        </w:rPr>
        <w:tab/>
      </w:r>
      <w:r>
        <w:rPr>
          <w:rFonts w:hint="eastAsia" w:ascii="宋体" w:hAnsi="宋体" w:eastAsia="宋体" w:cs="宋体"/>
          <w:color w:val="000000"/>
          <w:highlight w:val="none"/>
          <w:u w:val="single"/>
        </w:rPr>
        <w:tab/>
      </w:r>
      <w:r>
        <w:rPr>
          <w:rFonts w:hint="eastAsia" w:ascii="宋体" w:hAnsi="宋体" w:eastAsia="宋体" w:cs="宋体"/>
          <w:color w:val="000000"/>
          <w:highlight w:val="none"/>
          <w:u w:val="single"/>
        </w:rPr>
        <w:tab/>
      </w:r>
      <w:r>
        <w:rPr>
          <w:rFonts w:hint="eastAsia" w:ascii="宋体" w:hAnsi="宋体" w:eastAsia="宋体" w:cs="宋体"/>
          <w:color w:val="000000"/>
          <w:highlight w:val="none"/>
          <w:u w:val="single"/>
        </w:rPr>
        <w:tab/>
      </w:r>
      <w:r>
        <w:rPr>
          <w:rFonts w:hint="eastAsia" w:ascii="宋体" w:hAnsi="宋体" w:eastAsia="宋体" w:cs="宋体"/>
          <w:color w:val="000000"/>
          <w:highlight w:val="none"/>
          <w:u w:val="single"/>
        </w:rPr>
        <w:tab/>
      </w:r>
      <w:r>
        <w:rPr>
          <w:rFonts w:hint="eastAsia" w:ascii="宋体" w:hAnsi="宋体" w:eastAsia="宋体" w:cs="宋体"/>
          <w:color w:val="000000"/>
          <w:highlight w:val="none"/>
          <w:u w:val="single"/>
        </w:rPr>
        <w:t xml:space="preserve">       </w:t>
      </w:r>
      <w:r/>
    </w:p>
    <w:p>
      <w:pPr>
        <w:pStyle w:val="856"/>
        <w:jc w:val="both"/>
        <w:spacing w:beforeAutospacing="0" w:afterAutospacing="0" w:line="360" w:lineRule="auto"/>
        <w:rPr>
          <w:rFonts w:ascii="宋体" w:hAnsi="宋体" w:eastAsia="宋体" w:cs="宋体"/>
          <w:highlight w:val="none"/>
        </w:rPr>
      </w:pPr>
      <w:r>
        <w:rPr>
          <w:rFonts w:hint="eastAsia" w:ascii="宋体" w:hAnsi="宋体" w:eastAsia="宋体" w:cs="宋体"/>
          <w:color w:val="000000"/>
          <w:highlight w:val="none"/>
        </w:rPr>
        <w:t xml:space="preserve">联系电话：</w:t>
      </w:r>
      <w:r>
        <w:rPr>
          <w:rFonts w:hint="eastAsia" w:ascii="宋体" w:hAnsi="宋体" w:eastAsia="宋体" w:cs="宋体"/>
          <w:color w:val="000000"/>
          <w:highlight w:val="none"/>
          <w:u w:val="single"/>
        </w:rPr>
        <w:t xml:space="preserve">                                           </w:t>
      </w:r>
      <w:r/>
    </w:p>
    <w:p>
      <w:pPr>
        <w:pStyle w:val="856"/>
        <w:jc w:val="both"/>
        <w:spacing w:beforeAutospacing="0" w:afterAutospacing="0" w:line="360" w:lineRule="auto"/>
        <w:rPr>
          <w:rFonts w:ascii="宋体" w:hAnsi="宋体" w:eastAsia="宋体" w:cs="宋体"/>
          <w:highlight w:val="none"/>
        </w:rPr>
      </w:pPr>
      <w:r>
        <w:rPr>
          <w:rFonts w:hint="eastAsia" w:ascii="宋体" w:hAnsi="宋体" w:eastAsia="宋体" w:cs="宋体"/>
          <w:color w:val="000000"/>
          <w:highlight w:val="none"/>
        </w:rPr>
        <w:t xml:space="preserve">授权代表：</w:t>
      </w:r>
      <w:r>
        <w:rPr>
          <w:rFonts w:hint="eastAsia" w:ascii="宋体" w:hAnsi="宋体" w:eastAsia="宋体" w:cs="宋体"/>
          <w:color w:val="000000"/>
          <w:highlight w:val="none"/>
          <w:u w:val="single"/>
        </w:rPr>
        <w:t xml:space="preserve">                 </w:t>
      </w:r>
      <w:r>
        <w:rPr>
          <w:rFonts w:hint="eastAsia" w:ascii="宋体" w:hAnsi="宋体" w:eastAsia="宋体" w:cs="宋体"/>
          <w:color w:val="000000"/>
          <w:highlight w:val="none"/>
          <w:u w:val="single"/>
        </w:rPr>
        <w:tab/>
      </w:r>
      <w:r>
        <w:rPr>
          <w:rFonts w:hint="eastAsia" w:ascii="宋体" w:hAnsi="宋体" w:eastAsia="宋体" w:cs="宋体"/>
          <w:color w:val="000000"/>
          <w:highlight w:val="none"/>
          <w:u w:val="single"/>
        </w:rPr>
        <w:tab/>
      </w:r>
      <w:r>
        <w:rPr>
          <w:rFonts w:hint="eastAsia" w:ascii="宋体" w:hAnsi="宋体" w:eastAsia="宋体" w:cs="宋体"/>
          <w:color w:val="000000"/>
          <w:highlight w:val="none"/>
          <w:u w:val="single"/>
        </w:rPr>
        <w:tab/>
      </w:r>
      <w:r>
        <w:rPr>
          <w:rFonts w:hint="eastAsia" w:ascii="宋体" w:hAnsi="宋体" w:eastAsia="宋体" w:cs="宋体"/>
          <w:color w:val="000000"/>
          <w:highlight w:val="none"/>
          <w:u w:val="single"/>
        </w:rPr>
        <w:tab/>
      </w:r>
      <w:r>
        <w:rPr>
          <w:rFonts w:hint="eastAsia" w:ascii="宋体" w:hAnsi="宋体" w:eastAsia="宋体" w:cs="宋体"/>
          <w:color w:val="000000"/>
          <w:highlight w:val="none"/>
          <w:u w:val="single"/>
        </w:rPr>
        <w:t xml:space="preserve">        </w:t>
      </w:r>
      <w:r/>
    </w:p>
    <w:p>
      <w:pPr>
        <w:pStyle w:val="856"/>
        <w:jc w:val="both"/>
        <w:spacing w:beforeAutospacing="0" w:afterAutospacing="0" w:line="360" w:lineRule="auto"/>
        <w:rPr>
          <w:rFonts w:ascii="宋体" w:hAnsi="宋体" w:eastAsia="宋体" w:cs="宋体"/>
          <w:highlight w:val="none"/>
        </w:rPr>
      </w:pPr>
      <w:r>
        <w:rPr>
          <w:rFonts w:hint="eastAsia" w:ascii="宋体" w:hAnsi="宋体" w:eastAsia="宋体" w:cs="宋体"/>
          <w:color w:val="000000"/>
          <w:highlight w:val="none"/>
        </w:rPr>
        <w:t xml:space="preserve">联系电话：</w:t>
      </w:r>
      <w:r>
        <w:rPr>
          <w:rFonts w:hint="eastAsia" w:ascii="宋体" w:hAnsi="宋体" w:eastAsia="宋体" w:cs="宋体"/>
          <w:color w:val="000000"/>
          <w:highlight w:val="none"/>
          <w:u w:val="single"/>
        </w:rPr>
        <w:t xml:space="preserve">                  </w:t>
      </w:r>
      <w:r>
        <w:rPr>
          <w:rFonts w:hint="eastAsia" w:ascii="宋体" w:hAnsi="宋体" w:eastAsia="宋体" w:cs="宋体"/>
          <w:color w:val="000000"/>
          <w:highlight w:val="none"/>
          <w:u w:val="single"/>
        </w:rPr>
        <w:tab/>
      </w:r>
      <w:r>
        <w:rPr>
          <w:rFonts w:hint="eastAsia" w:ascii="宋体" w:hAnsi="宋体" w:eastAsia="宋体" w:cs="宋体"/>
          <w:color w:val="000000"/>
          <w:highlight w:val="none"/>
          <w:u w:val="single"/>
        </w:rPr>
        <w:tab/>
      </w:r>
      <w:r>
        <w:rPr>
          <w:rFonts w:hint="eastAsia" w:ascii="宋体" w:hAnsi="宋体" w:eastAsia="宋体" w:cs="宋体"/>
          <w:color w:val="000000"/>
          <w:highlight w:val="none"/>
          <w:u w:val="single"/>
        </w:rPr>
        <w:tab/>
      </w:r>
      <w:r>
        <w:rPr>
          <w:rFonts w:hint="eastAsia" w:ascii="宋体" w:hAnsi="宋体" w:eastAsia="宋体" w:cs="宋体"/>
          <w:color w:val="000000"/>
          <w:highlight w:val="none"/>
          <w:u w:val="single"/>
        </w:rPr>
        <w:tab/>
      </w:r>
      <w:r>
        <w:rPr>
          <w:rFonts w:hint="eastAsia" w:ascii="宋体" w:hAnsi="宋体" w:eastAsia="宋体" w:cs="宋体"/>
          <w:color w:val="000000"/>
          <w:highlight w:val="none"/>
          <w:u w:val="single"/>
        </w:rPr>
        <w:t xml:space="preserve">     </w:t>
      </w:r>
      <w:r/>
    </w:p>
    <w:p>
      <w:pPr>
        <w:pStyle w:val="856"/>
        <w:jc w:val="both"/>
        <w:spacing w:beforeAutospacing="0" w:afterAutospacing="0" w:line="360" w:lineRule="auto"/>
        <w:rPr>
          <w:rFonts w:ascii="宋体" w:hAnsi="宋体" w:eastAsia="宋体" w:cs="宋体"/>
          <w:color w:val="000000"/>
          <w:highlight w:val="none"/>
          <w:u w:val="single"/>
        </w:rPr>
      </w:pPr>
      <w:r>
        <w:rPr>
          <w:rFonts w:hint="eastAsia" w:ascii="宋体" w:hAnsi="宋体" w:eastAsia="宋体" w:cs="宋体"/>
          <w:color w:val="000000"/>
          <w:highlight w:val="none"/>
        </w:rPr>
        <w:t xml:space="preserve">地址： </w:t>
      </w:r>
      <w:r>
        <w:rPr>
          <w:rFonts w:hint="eastAsia" w:ascii="宋体" w:hAnsi="宋体" w:eastAsia="宋体" w:cs="宋体"/>
          <w:color w:val="000000"/>
          <w:highlight w:val="none"/>
          <w:u w:val="single"/>
        </w:rPr>
        <w:t xml:space="preserve">                  </w:t>
      </w:r>
      <w:r>
        <w:rPr>
          <w:rFonts w:hint="eastAsia" w:ascii="宋体" w:hAnsi="宋体" w:eastAsia="宋体" w:cs="宋体"/>
          <w:color w:val="000000"/>
          <w:highlight w:val="none"/>
          <w:u w:val="single"/>
        </w:rPr>
        <w:tab/>
      </w:r>
      <w:r>
        <w:rPr>
          <w:rFonts w:hint="eastAsia" w:ascii="宋体" w:hAnsi="宋体" w:eastAsia="宋体" w:cs="宋体"/>
          <w:color w:val="000000"/>
          <w:highlight w:val="none"/>
          <w:u w:val="single"/>
        </w:rPr>
        <w:tab/>
      </w:r>
      <w:r>
        <w:rPr>
          <w:rFonts w:hint="eastAsia" w:ascii="宋体" w:hAnsi="宋体" w:eastAsia="宋体" w:cs="宋体"/>
          <w:color w:val="000000"/>
          <w:highlight w:val="none"/>
          <w:u w:val="single"/>
        </w:rPr>
        <w:tab/>
      </w:r>
      <w:r>
        <w:rPr>
          <w:rFonts w:hint="eastAsia" w:ascii="宋体" w:hAnsi="宋体" w:eastAsia="宋体" w:cs="宋体"/>
          <w:color w:val="000000"/>
          <w:highlight w:val="none"/>
          <w:u w:val="single"/>
        </w:rPr>
        <w:tab/>
      </w:r>
      <w:r>
        <w:rPr>
          <w:rFonts w:hint="eastAsia" w:ascii="宋体" w:hAnsi="宋体" w:eastAsia="宋体" w:cs="宋体"/>
          <w:color w:val="000000"/>
          <w:highlight w:val="none"/>
          <w:u w:val="single"/>
        </w:rPr>
        <w:t xml:space="preserve">        </w:t>
      </w:r>
      <w:r/>
    </w:p>
    <w:p>
      <w:pPr>
        <w:pStyle w:val="856"/>
        <w:jc w:val="both"/>
        <w:spacing w:beforeAutospacing="0" w:afterAutospacing="0" w:line="360" w:lineRule="auto"/>
        <w:rPr>
          <w:rFonts w:ascii="宋体" w:hAnsi="宋体" w:eastAsia="宋体" w:cs="宋体"/>
          <w:highlight w:val="none"/>
        </w:rPr>
      </w:pPr>
      <w:r>
        <w:rPr>
          <w:rFonts w:hint="eastAsia" w:ascii="宋体" w:hAnsi="宋体" w:eastAsia="宋体" w:cs="宋体"/>
          <w:color w:val="000000"/>
          <w:highlight w:val="none"/>
        </w:rPr>
        <w:t xml:space="preserve">邮编：</w:t>
      </w:r>
      <w:r>
        <w:rPr>
          <w:rFonts w:hint="eastAsia" w:ascii="宋体" w:hAnsi="宋体" w:eastAsia="宋体" w:cs="宋体"/>
          <w:color w:val="000000"/>
          <w:highlight w:val="none"/>
          <w:u w:val="single"/>
        </w:rPr>
        <w:t xml:space="preserve">                                </w:t>
      </w:r>
      <w:r/>
    </w:p>
    <w:p>
      <w:pPr>
        <w:pStyle w:val="856"/>
        <w:jc w:val="both"/>
        <w:spacing w:beforeAutospacing="0" w:afterAutospacing="0" w:line="360" w:lineRule="auto"/>
        <w:rPr>
          <w:rFonts w:ascii="宋体" w:hAnsi="宋体" w:eastAsia="宋体" w:cs="宋体"/>
          <w:highlight w:val="none"/>
        </w:rPr>
      </w:pPr>
      <w:r>
        <w:rPr>
          <w:rFonts w:hint="eastAsia" w:ascii="宋体" w:hAnsi="宋体" w:eastAsia="宋体" w:cs="宋体"/>
          <w:color w:val="000000"/>
          <w:highlight w:val="none"/>
        </w:rPr>
        <w:t xml:space="preserve">二、质疑项目基本情况</w:t>
      </w:r>
      <w:r/>
    </w:p>
    <w:p>
      <w:pPr>
        <w:pStyle w:val="856"/>
        <w:jc w:val="both"/>
        <w:spacing w:beforeAutospacing="0" w:afterAutospacing="0" w:line="360" w:lineRule="auto"/>
        <w:rPr>
          <w:rFonts w:ascii="宋体" w:hAnsi="宋体" w:eastAsia="宋体" w:cs="宋体"/>
          <w:highlight w:val="none"/>
        </w:rPr>
      </w:pPr>
      <w:r>
        <w:rPr>
          <w:rFonts w:hint="eastAsia" w:ascii="宋体" w:hAnsi="宋体" w:eastAsia="宋体" w:cs="宋体"/>
          <w:color w:val="000000"/>
          <w:highlight w:val="none"/>
        </w:rPr>
        <w:t xml:space="preserve">质疑项目的名称：</w:t>
      </w:r>
      <w:r>
        <w:rPr>
          <w:rFonts w:hint="eastAsia" w:ascii="宋体" w:hAnsi="宋体" w:eastAsia="宋体" w:cs="宋体"/>
          <w:color w:val="000000"/>
          <w:highlight w:val="none"/>
          <w:u w:val="single"/>
        </w:rPr>
        <w:t xml:space="preserve">                            </w:t>
      </w:r>
      <w:r/>
    </w:p>
    <w:p>
      <w:pPr>
        <w:pStyle w:val="856"/>
        <w:jc w:val="both"/>
        <w:spacing w:beforeAutospacing="0" w:afterAutospacing="0" w:line="360" w:lineRule="auto"/>
        <w:rPr>
          <w:rFonts w:ascii="宋体" w:hAnsi="宋体" w:eastAsia="宋体" w:cs="宋体"/>
          <w:color w:val="000000"/>
          <w:highlight w:val="none"/>
          <w:u w:val="single"/>
        </w:rPr>
      </w:pPr>
      <w:r>
        <w:rPr>
          <w:rFonts w:hint="eastAsia" w:ascii="宋体" w:hAnsi="宋体" w:eastAsia="宋体" w:cs="宋体"/>
          <w:color w:val="000000"/>
          <w:highlight w:val="none"/>
        </w:rPr>
        <w:t xml:space="preserve">质疑项目的编号：</w:t>
      </w:r>
      <w:r>
        <w:rPr>
          <w:rFonts w:hint="eastAsia" w:ascii="宋体" w:hAnsi="宋体" w:eastAsia="宋体" w:cs="宋体"/>
          <w:color w:val="000000"/>
          <w:highlight w:val="none"/>
          <w:u w:val="single"/>
        </w:rPr>
        <w:t xml:space="preserve">                          </w:t>
      </w:r>
      <w:r/>
    </w:p>
    <w:p>
      <w:pPr>
        <w:pStyle w:val="856"/>
        <w:jc w:val="both"/>
        <w:spacing w:beforeAutospacing="0" w:afterAutospacing="0" w:line="360" w:lineRule="auto"/>
        <w:rPr>
          <w:rFonts w:ascii="宋体" w:hAnsi="宋体" w:eastAsia="宋体" w:cs="宋体"/>
          <w:highlight w:val="none"/>
        </w:rPr>
      </w:pPr>
      <w:r>
        <w:rPr>
          <w:rFonts w:hint="eastAsia" w:ascii="宋体" w:hAnsi="宋体" w:eastAsia="宋体" w:cs="宋体"/>
          <w:color w:val="000000"/>
          <w:highlight w:val="none"/>
        </w:rPr>
        <w:t xml:space="preserve">包号：</w:t>
      </w:r>
      <w:r>
        <w:rPr>
          <w:rFonts w:hint="eastAsia" w:ascii="宋体" w:hAnsi="宋体" w:eastAsia="宋体" w:cs="宋体"/>
          <w:color w:val="000000"/>
          <w:highlight w:val="none"/>
          <w:u w:val="single"/>
        </w:rPr>
        <w:t xml:space="preserve">                       </w:t>
      </w:r>
      <w:r>
        <w:rPr>
          <w:rFonts w:hint="eastAsia" w:ascii="宋体" w:hAnsi="宋体" w:eastAsia="宋体" w:cs="宋体"/>
          <w:color w:val="000000"/>
          <w:highlight w:val="none"/>
          <w:u w:val="single"/>
        </w:rPr>
        <w:tab/>
      </w:r>
      <w:r>
        <w:rPr>
          <w:rFonts w:hint="eastAsia" w:ascii="宋体" w:hAnsi="宋体" w:eastAsia="宋体" w:cs="宋体"/>
          <w:color w:val="000000"/>
          <w:highlight w:val="none"/>
          <w:u w:val="single"/>
        </w:rPr>
        <w:tab/>
      </w:r>
      <w:r>
        <w:rPr>
          <w:rFonts w:hint="eastAsia" w:ascii="宋体" w:hAnsi="宋体" w:eastAsia="宋体" w:cs="宋体"/>
          <w:color w:val="000000"/>
          <w:highlight w:val="none"/>
          <w:u w:val="single"/>
        </w:rPr>
        <w:tab/>
      </w:r>
      <w:r>
        <w:rPr>
          <w:rFonts w:hint="eastAsia" w:ascii="宋体" w:hAnsi="宋体" w:eastAsia="宋体" w:cs="宋体"/>
          <w:color w:val="000000"/>
          <w:highlight w:val="none"/>
          <w:u w:val="single"/>
        </w:rPr>
        <w:t xml:space="preserve">    </w:t>
      </w:r>
      <w:r/>
    </w:p>
    <w:p>
      <w:pPr>
        <w:pStyle w:val="856"/>
        <w:jc w:val="both"/>
        <w:spacing w:beforeAutospacing="0" w:afterAutospacing="0" w:line="360" w:lineRule="auto"/>
        <w:rPr>
          <w:rFonts w:ascii="宋体" w:hAnsi="宋体" w:eastAsia="宋体" w:cs="宋体"/>
          <w:highlight w:val="none"/>
        </w:rPr>
      </w:pPr>
      <w:r>
        <w:rPr>
          <w:rFonts w:hint="eastAsia" w:ascii="宋体" w:hAnsi="宋体" w:eastAsia="宋体" w:cs="宋体"/>
          <w:color w:val="000000"/>
          <w:highlight w:val="none"/>
        </w:rPr>
        <w:t xml:space="preserve">采购人名称：</w:t>
      </w:r>
      <w:r>
        <w:rPr>
          <w:rFonts w:hint="eastAsia" w:ascii="宋体" w:hAnsi="宋体" w:eastAsia="宋体" w:cs="宋体"/>
          <w:color w:val="000000"/>
          <w:highlight w:val="none"/>
          <w:u w:val="single"/>
        </w:rPr>
        <w:t xml:space="preserve">                            </w:t>
      </w:r>
      <w:r/>
    </w:p>
    <w:p>
      <w:pPr>
        <w:pStyle w:val="856"/>
        <w:jc w:val="both"/>
        <w:spacing w:beforeAutospacing="0" w:afterAutospacing="0" w:line="360" w:lineRule="auto"/>
        <w:rPr>
          <w:rFonts w:ascii="宋体" w:hAnsi="宋体" w:eastAsia="宋体" w:cs="宋体"/>
          <w:highlight w:val="none"/>
        </w:rPr>
      </w:pPr>
      <w:r>
        <w:rPr>
          <w:rFonts w:hint="eastAsia" w:ascii="宋体" w:hAnsi="宋体" w:eastAsia="宋体" w:cs="宋体"/>
          <w:color w:val="000000"/>
          <w:highlight w:val="none"/>
        </w:rPr>
        <w:t xml:space="preserve">采购文件获取日期：</w:t>
      </w:r>
      <w:r>
        <w:rPr>
          <w:rFonts w:hint="eastAsia" w:ascii="宋体" w:hAnsi="宋体" w:eastAsia="宋体" w:cs="宋体"/>
          <w:color w:val="000000"/>
          <w:highlight w:val="none"/>
          <w:u w:val="single"/>
        </w:rPr>
        <w:t xml:space="preserve">                             </w:t>
      </w:r>
      <w:r/>
    </w:p>
    <w:p>
      <w:pPr>
        <w:pStyle w:val="856"/>
        <w:jc w:val="both"/>
        <w:spacing w:beforeAutospacing="0" w:afterAutospacing="0" w:line="360" w:lineRule="auto"/>
        <w:rPr>
          <w:rFonts w:ascii="宋体" w:hAnsi="宋体" w:eastAsia="宋体" w:cs="宋体"/>
          <w:highlight w:val="none"/>
        </w:rPr>
      </w:pPr>
      <w:r>
        <w:rPr>
          <w:rFonts w:hint="eastAsia" w:ascii="宋体" w:hAnsi="宋体" w:eastAsia="宋体" w:cs="宋体"/>
          <w:color w:val="000000"/>
          <w:highlight w:val="none"/>
        </w:rPr>
        <w:t xml:space="preserve">三、质疑事项具体内容</w:t>
      </w:r>
      <w:r/>
    </w:p>
    <w:p>
      <w:pPr>
        <w:pStyle w:val="856"/>
        <w:jc w:val="both"/>
        <w:spacing w:beforeAutospacing="0" w:afterAutospacing="0" w:line="360" w:lineRule="auto"/>
        <w:rPr>
          <w:rFonts w:ascii="宋体" w:hAnsi="宋体" w:eastAsia="宋体" w:cs="宋体"/>
          <w:highlight w:val="none"/>
        </w:rPr>
      </w:pPr>
      <w:r>
        <w:rPr>
          <w:rFonts w:hint="eastAsia" w:ascii="宋体" w:hAnsi="宋体" w:eastAsia="宋体" w:cs="宋体"/>
          <w:color w:val="000000"/>
          <w:highlight w:val="none"/>
        </w:rPr>
        <w:t xml:space="preserve">质疑事项1：</w:t>
      </w:r>
      <w:r>
        <w:rPr>
          <w:rFonts w:hint="eastAsia" w:ascii="宋体" w:hAnsi="宋体" w:eastAsia="宋体" w:cs="宋体"/>
          <w:color w:val="000000"/>
          <w:highlight w:val="none"/>
          <w:u w:val="single"/>
        </w:rPr>
        <w:t xml:space="preserve">                             </w:t>
      </w:r>
      <w:r/>
    </w:p>
    <w:p>
      <w:pPr>
        <w:pStyle w:val="856"/>
        <w:spacing w:beforeAutospacing="0" w:afterAutospacing="0" w:line="360" w:lineRule="auto"/>
        <w:rPr>
          <w:rFonts w:ascii="宋体" w:hAnsi="宋体" w:eastAsia="宋体" w:cs="宋体"/>
          <w:highlight w:val="none"/>
        </w:rPr>
      </w:pPr>
      <w:r>
        <w:rPr>
          <w:rFonts w:hint="eastAsia" w:ascii="宋体" w:hAnsi="宋体" w:eastAsia="宋体" w:cs="宋体"/>
          <w:color w:val="000000"/>
          <w:highlight w:val="none"/>
        </w:rPr>
        <w:t xml:space="preserve">事实依据：</w:t>
      </w:r>
      <w:r>
        <w:rPr>
          <w:rFonts w:hint="eastAsia" w:ascii="宋体" w:hAnsi="宋体" w:eastAsia="宋体" w:cs="宋体"/>
          <w:color w:val="000000"/>
          <w:highlight w:val="none"/>
          <w:u w:val="single"/>
        </w:rPr>
        <w:t xml:space="preserve">                                                   </w:t>
      </w:r>
      <w:r/>
    </w:p>
    <w:p>
      <w:pPr>
        <w:pStyle w:val="856"/>
        <w:jc w:val="both"/>
        <w:spacing w:beforeAutospacing="0" w:afterAutospacing="0" w:line="360" w:lineRule="auto"/>
        <w:rPr>
          <w:rFonts w:ascii="宋体" w:hAnsi="宋体" w:eastAsia="宋体" w:cs="宋体"/>
          <w:highlight w:val="none"/>
        </w:rPr>
      </w:pPr>
      <w:r>
        <w:rPr>
          <w:rFonts w:hint="eastAsia" w:ascii="宋体" w:hAnsi="宋体" w:eastAsia="宋体" w:cs="宋体"/>
          <w:color w:val="000000"/>
          <w:highlight w:val="none"/>
        </w:rPr>
        <w:t xml:space="preserve">法律依据：</w:t>
      </w:r>
      <w:r>
        <w:rPr>
          <w:rFonts w:hint="eastAsia" w:ascii="宋体" w:hAnsi="宋体" w:eastAsia="宋体" w:cs="宋体"/>
          <w:color w:val="000000"/>
          <w:highlight w:val="none"/>
          <w:u w:val="single"/>
        </w:rPr>
        <w:t xml:space="preserve">                                                    </w:t>
      </w:r>
      <w:r/>
    </w:p>
    <w:p>
      <w:pPr>
        <w:pStyle w:val="856"/>
        <w:jc w:val="both"/>
        <w:spacing w:beforeAutospacing="0" w:afterAutospacing="0" w:line="360" w:lineRule="auto"/>
        <w:rPr>
          <w:rFonts w:ascii="宋体" w:hAnsi="宋体" w:eastAsia="宋体" w:cs="宋体"/>
          <w:highlight w:val="none"/>
        </w:rPr>
      </w:pPr>
      <w:r>
        <w:rPr>
          <w:rFonts w:hint="eastAsia" w:ascii="宋体" w:hAnsi="宋体" w:eastAsia="宋体" w:cs="宋体"/>
          <w:color w:val="000000"/>
          <w:highlight w:val="none"/>
        </w:rPr>
        <w:t xml:space="preserve">质疑事项2</w:t>
      </w:r>
      <w:r/>
    </w:p>
    <w:p>
      <w:pPr>
        <w:pStyle w:val="856"/>
        <w:jc w:val="both"/>
        <w:spacing w:beforeAutospacing="0" w:afterAutospacing="0" w:line="360" w:lineRule="auto"/>
        <w:rPr>
          <w:rFonts w:ascii="宋体" w:hAnsi="宋体" w:eastAsia="宋体" w:cs="宋体"/>
          <w:highlight w:val="none"/>
        </w:rPr>
      </w:pPr>
      <w:r>
        <w:rPr>
          <w:rFonts w:hint="eastAsia" w:ascii="宋体" w:hAnsi="宋体" w:eastAsia="宋体" w:cs="宋体"/>
          <w:color w:val="000000"/>
          <w:highlight w:val="none"/>
        </w:rPr>
        <w:t xml:space="preserve">……</w:t>
      </w:r>
      <w:r/>
    </w:p>
    <w:p>
      <w:pPr>
        <w:pStyle w:val="856"/>
        <w:jc w:val="both"/>
        <w:spacing w:beforeAutospacing="0" w:afterAutospacing="0" w:line="360" w:lineRule="auto"/>
        <w:rPr>
          <w:rFonts w:ascii="宋体" w:hAnsi="宋体" w:eastAsia="宋体" w:cs="宋体"/>
          <w:highlight w:val="none"/>
        </w:rPr>
      </w:pPr>
      <w:r>
        <w:rPr>
          <w:rFonts w:hint="eastAsia" w:ascii="宋体" w:hAnsi="宋体" w:eastAsia="宋体" w:cs="宋体"/>
          <w:color w:val="000000"/>
          <w:highlight w:val="none"/>
        </w:rPr>
        <w:t xml:space="preserve">四、与质疑事项相关的质疑请求</w:t>
      </w:r>
      <w:r/>
    </w:p>
    <w:p>
      <w:pPr>
        <w:pStyle w:val="856"/>
        <w:jc w:val="both"/>
        <w:spacing w:beforeAutospacing="0" w:afterAutospacing="0" w:line="360" w:lineRule="auto"/>
        <w:rPr>
          <w:rFonts w:ascii="宋体" w:hAnsi="宋体" w:eastAsia="宋体" w:cs="宋体"/>
          <w:highlight w:val="none"/>
        </w:rPr>
      </w:pPr>
      <w:r>
        <w:rPr>
          <w:rFonts w:hint="eastAsia" w:ascii="宋体" w:hAnsi="宋体" w:eastAsia="宋体" w:cs="宋体"/>
          <w:color w:val="000000"/>
          <w:highlight w:val="none"/>
        </w:rPr>
        <w:t xml:space="preserve">请求：</w:t>
      </w:r>
      <w:r>
        <w:rPr>
          <w:rFonts w:hint="eastAsia" w:ascii="宋体" w:hAnsi="宋体" w:eastAsia="宋体" w:cs="宋体"/>
          <w:color w:val="000000"/>
          <w:highlight w:val="none"/>
          <w:u w:val="single"/>
        </w:rPr>
        <w:t xml:space="preserve">                                                          </w:t>
      </w:r>
      <w:r/>
    </w:p>
    <w:p>
      <w:pPr>
        <w:pStyle w:val="856"/>
        <w:jc w:val="both"/>
        <w:spacing w:beforeAutospacing="0" w:afterAutospacing="0"/>
        <w:rPr>
          <w:rFonts w:ascii="宋体" w:hAnsi="宋体" w:eastAsia="宋体" w:cs="宋体"/>
          <w:highlight w:val="none"/>
        </w:rPr>
      </w:pPr>
      <w:r>
        <w:rPr>
          <w:rFonts w:hint="eastAsia" w:ascii="宋体" w:hAnsi="宋体" w:eastAsia="宋体" w:cs="宋体"/>
          <w:color w:val="000000"/>
          <w:highlight w:val="none"/>
        </w:rPr>
        <w:t xml:space="preserve">签字(签章)：                 公章：               日期：    </w:t>
      </w:r>
      <w:r/>
    </w:p>
    <w:p>
      <w:pPr>
        <w:pStyle w:val="856"/>
        <w:jc w:val="both"/>
        <w:spacing w:beforeAutospacing="0" w:afterAutospacing="0" w:line="0" w:lineRule="atLeast"/>
        <w:rPr>
          <w:rFonts w:ascii="宋体" w:hAnsi="宋体" w:eastAsia="宋体" w:cs="宋体"/>
          <w:highlight w:val="none"/>
        </w:rPr>
      </w:pPr>
      <w:r>
        <w:rPr>
          <w:rFonts w:hint="eastAsia" w:ascii="宋体" w:hAnsi="宋体" w:eastAsia="宋体" w:cs="宋体"/>
          <w:b/>
          <w:color w:val="000000"/>
          <w:highlight w:val="none"/>
        </w:rPr>
        <w:t xml:space="preserve">质疑函制作说明：</w:t>
      </w:r>
      <w:r/>
    </w:p>
    <w:p>
      <w:pPr>
        <w:pStyle w:val="856"/>
        <w:ind w:firstLine="480"/>
        <w:spacing w:beforeAutospacing="0" w:afterAutospacing="0" w:line="0" w:lineRule="atLeast"/>
        <w:widowControl/>
        <w:rPr>
          <w:rFonts w:ascii="宋体" w:hAnsi="宋体" w:eastAsia="宋体" w:cs="宋体"/>
          <w:highlight w:val="none"/>
        </w:rPr>
      </w:pPr>
      <w:r>
        <w:rPr>
          <w:rFonts w:hint="eastAsia" w:ascii="宋体" w:hAnsi="宋体" w:eastAsia="宋体" w:cs="宋体"/>
          <w:color w:val="000000"/>
          <w:highlight w:val="none"/>
        </w:rPr>
        <w:t xml:space="preserve">1.供应商提出质疑时，应提交质疑函和必要的证明材料。</w:t>
      </w:r>
      <w:r/>
    </w:p>
    <w:p>
      <w:pPr>
        <w:pStyle w:val="856"/>
        <w:ind w:firstLine="480"/>
        <w:spacing w:beforeAutospacing="0" w:afterAutospacing="0" w:line="0" w:lineRule="atLeast"/>
        <w:widowControl/>
        <w:rPr>
          <w:rFonts w:ascii="宋体" w:hAnsi="宋体" w:eastAsia="宋体" w:cs="宋体"/>
          <w:highlight w:val="none"/>
        </w:rPr>
      </w:pPr>
      <w:r>
        <w:rPr>
          <w:rFonts w:hint="eastAsia" w:ascii="宋体" w:hAnsi="宋体" w:eastAsia="宋体" w:cs="宋体"/>
          <w:color w:val="000000"/>
          <w:highlight w:val="none"/>
        </w:rPr>
        <w:t xml:space="preserve">2.质疑供应商若委托代理人进行质疑的，质疑函应按要求列明“授权代表”的有关内容，并在附件中提交由质疑供应商签署的授权委托书。授权委托书应载明代理人的姓名或者名称、代理事项、具体权限、期限和相关事项。</w:t>
      </w:r>
      <w:r/>
    </w:p>
    <w:p>
      <w:pPr>
        <w:pStyle w:val="856"/>
        <w:ind w:firstLine="480"/>
        <w:spacing w:beforeAutospacing="0" w:afterAutospacing="0" w:line="0" w:lineRule="atLeast"/>
        <w:widowControl/>
        <w:rPr>
          <w:rFonts w:ascii="宋体" w:hAnsi="宋体" w:eastAsia="宋体" w:cs="宋体"/>
          <w:highlight w:val="none"/>
        </w:rPr>
      </w:pPr>
      <w:r>
        <w:rPr>
          <w:rFonts w:hint="eastAsia" w:ascii="宋体" w:hAnsi="宋体" w:eastAsia="宋体" w:cs="宋体"/>
          <w:color w:val="000000"/>
          <w:highlight w:val="none"/>
        </w:rPr>
        <w:t xml:space="preserve">3.质疑供应商若对项目的某一分包进行质疑，质疑函中应列明具体分包号。</w:t>
      </w:r>
      <w:r/>
    </w:p>
    <w:p>
      <w:pPr>
        <w:pStyle w:val="856"/>
        <w:ind w:firstLine="480"/>
        <w:spacing w:beforeAutospacing="0" w:afterAutospacing="0" w:line="0" w:lineRule="atLeast"/>
        <w:widowControl/>
        <w:rPr>
          <w:rFonts w:ascii="宋体" w:hAnsi="宋体" w:eastAsia="宋体" w:cs="宋体"/>
          <w:highlight w:val="none"/>
        </w:rPr>
      </w:pPr>
      <w:r>
        <w:rPr>
          <w:rFonts w:hint="eastAsia" w:ascii="宋体" w:hAnsi="宋体" w:eastAsia="宋体" w:cs="宋体"/>
          <w:color w:val="000000"/>
          <w:highlight w:val="none"/>
        </w:rPr>
        <w:t xml:space="preserve">4.质疑函的质疑事项应具体、明确，并有必要的事实依据和法律依据。</w:t>
      </w:r>
      <w:r/>
    </w:p>
    <w:p>
      <w:pPr>
        <w:pStyle w:val="856"/>
        <w:ind w:firstLine="480"/>
        <w:spacing w:beforeAutospacing="0" w:afterAutospacing="0" w:line="0" w:lineRule="atLeast"/>
        <w:widowControl/>
        <w:rPr>
          <w:rFonts w:ascii="宋体" w:hAnsi="宋体" w:eastAsia="宋体" w:cs="宋体"/>
          <w:highlight w:val="none"/>
        </w:rPr>
      </w:pPr>
      <w:r>
        <w:rPr>
          <w:rFonts w:hint="eastAsia" w:ascii="宋体" w:hAnsi="宋体" w:eastAsia="宋体" w:cs="宋体"/>
          <w:color w:val="000000"/>
          <w:highlight w:val="none"/>
        </w:rPr>
        <w:t xml:space="preserve">5.质疑函的质疑请求应与质疑事项相关。</w:t>
      </w:r>
      <w:r/>
    </w:p>
    <w:p>
      <w:pPr>
        <w:pStyle w:val="856"/>
        <w:ind w:firstLine="480"/>
        <w:spacing w:beforeAutospacing="0" w:afterAutospacing="0" w:line="0" w:lineRule="atLeast"/>
        <w:widowControl/>
        <w:rPr>
          <w:rFonts w:ascii="宋体" w:hAnsi="宋体" w:eastAsia="宋体" w:cs="宋体"/>
          <w:highlight w:val="none"/>
        </w:rPr>
      </w:pPr>
      <w:r>
        <w:rPr>
          <w:rFonts w:hint="eastAsia" w:ascii="宋体" w:hAnsi="宋体" w:eastAsia="宋体" w:cs="宋体"/>
          <w:color w:val="000000"/>
          <w:highlight w:val="none"/>
        </w:rPr>
        <w:t xml:space="preserve">6.质疑供应商为自然人的，质疑函应由本人签字；质疑供应商为法人或者其他组织的，质疑函应由法定代表人、主要负责人，或者其授权代表签字或者盖章，并加盖公章。</w:t>
      </w:r>
      <w:r/>
    </w:p>
    <w:p>
      <w:pPr>
        <w:pStyle w:val="856"/>
        <w:spacing w:beforeAutospacing="0" w:afterAutospacing="0"/>
        <w:rPr>
          <w:highlight w:val="none"/>
        </w:rPr>
      </w:pPr>
      <w:r>
        <w:rPr>
          <w:highlight w:val="none"/>
        </w:rPr>
      </w:r>
      <w:r/>
    </w:p>
    <w:sectPr>
      <w:footerReference w:type="default" r:id="rId9"/>
      <w:footnotePr/>
      <w:endnotePr/>
      <w:type w:val="nextPage"/>
      <w:pgSz w:w="11906" w:h="16838" w:orient="portrait"/>
      <w:pgMar w:top="1440" w:right="1689" w:bottom="1440" w:left="1689" w:header="851" w:footer="992" w:gutter="0"/>
      <w:pgNumType w:start="1"/>
      <w:cols w:num="1" w:sep="0" w:space="425"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font>
  <w:font w:name="Wingdings">
    <w:panose1 w:val="05000000000000000000"/>
  </w:font>
  <w:font w:name="华文楷体">
    <w:panose1 w:val="02010600040101010101"/>
  </w:font>
  <w:font w:name="Courier New">
    <w:panose1 w:val="02070309020205020404"/>
  </w:font>
  <w:font w:name="等线">
    <w:panose1 w:val="02010600030101010101"/>
  </w:font>
  <w:font w:name="仿宋">
    <w:panose1 w:val="02010609060101010101"/>
  </w:font>
  <w:font w:name="黑体">
    <w:panose1 w:val="02010609060101010101"/>
  </w:font>
  <w:font w:name="仿宋_GB2312">
    <w:panose1 w:val="02010609060101010101"/>
  </w:font>
  <w:font w:name="Calibri">
    <w:panose1 w:val="020F0502020204030204"/>
  </w:font>
  <w:font w:name="Arial">
    <w:panose1 w:val="020B0604020202020204"/>
  </w:font>
  <w:font w:name="宋体">
    <w:panose1 w:val="02010600030101010101"/>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54"/>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854"/>
                          </w:pPr>
                          <w:r>
                            <w:fldChar w:fldCharType="begin"/>
                          </w:r>
                          <w:r>
                            <w:instrText xml:space="preserve"> PAGE  \* MERGEFORMAT </w:instrText>
                          </w:r>
                          <w:r>
                            <w:fldChar w:fldCharType="separate"/>
                          </w:r>
                          <w:r>
                            <w:t xml:space="preserve">2</w:t>
                          </w:r>
                          <w:r>
                            <w:fldChar w:fldCharType="end"/>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0" o:spid="_x0000_s0" o:spt="202" type="#_x0000_t202" style="position:absolute;z-index:25165926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854"/>
                    </w:pPr>
                    <w:r>
                      <w:fldChar w:fldCharType="begin"/>
                    </w:r>
                    <w:r>
                      <w:instrText xml:space="preserve"> PAGE  \* MERGEFORMAT </w:instrText>
                    </w:r>
                    <w:r>
                      <w:fldChar w:fldCharType="separate"/>
                    </w:r>
                    <w:r>
                      <w:t xml:space="preserve">2</w:t>
                    </w:r>
                    <w:r>
                      <w:fldChar w:fldCharType="end"/>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671">
    <w:name w:val="Heading 1 Char"/>
    <w:basedOn w:val="847"/>
    <w:link w:val="845"/>
    <w:uiPriority w:val="9"/>
    <w:rPr>
      <w:rFonts w:ascii="Arial" w:hAnsi="Arial" w:eastAsia="Arial" w:cs="Arial"/>
      <w:sz w:val="40"/>
      <w:szCs w:val="40"/>
    </w:rPr>
  </w:style>
  <w:style w:type="character" w:styleId="672">
    <w:name w:val="Heading 2 Char"/>
    <w:basedOn w:val="847"/>
    <w:link w:val="846"/>
    <w:uiPriority w:val="9"/>
    <w:rPr>
      <w:rFonts w:ascii="Arial" w:hAnsi="Arial" w:eastAsia="Arial" w:cs="Arial"/>
      <w:sz w:val="34"/>
    </w:rPr>
  </w:style>
  <w:style w:type="paragraph" w:styleId="673">
    <w:name w:val="Heading 3"/>
    <w:basedOn w:val="844"/>
    <w:next w:val="844"/>
    <w:link w:val="674"/>
    <w:uiPriority w:val="9"/>
    <w:unhideWhenUsed/>
    <w:qFormat/>
    <w:pPr>
      <w:keepLines/>
      <w:keepNext/>
      <w:spacing w:before="320" w:after="200"/>
      <w:outlineLvl w:val="2"/>
    </w:pPr>
    <w:rPr>
      <w:rFonts w:ascii="Arial" w:hAnsi="Arial" w:eastAsia="Arial" w:cs="Arial"/>
      <w:sz w:val="30"/>
      <w:szCs w:val="30"/>
    </w:rPr>
  </w:style>
  <w:style w:type="character" w:styleId="674">
    <w:name w:val="Heading 3 Char"/>
    <w:basedOn w:val="847"/>
    <w:link w:val="673"/>
    <w:uiPriority w:val="9"/>
    <w:rPr>
      <w:rFonts w:ascii="Arial" w:hAnsi="Arial" w:eastAsia="Arial" w:cs="Arial"/>
      <w:sz w:val="30"/>
      <w:szCs w:val="30"/>
    </w:rPr>
  </w:style>
  <w:style w:type="paragraph" w:styleId="675">
    <w:name w:val="Heading 4"/>
    <w:basedOn w:val="844"/>
    <w:next w:val="844"/>
    <w:link w:val="676"/>
    <w:uiPriority w:val="9"/>
    <w:unhideWhenUsed/>
    <w:qFormat/>
    <w:pPr>
      <w:keepLines/>
      <w:keepNext/>
      <w:spacing w:before="320" w:after="200"/>
      <w:outlineLvl w:val="3"/>
    </w:pPr>
    <w:rPr>
      <w:rFonts w:ascii="Arial" w:hAnsi="Arial" w:eastAsia="Arial" w:cs="Arial"/>
      <w:b/>
      <w:bCs/>
      <w:sz w:val="26"/>
      <w:szCs w:val="26"/>
    </w:rPr>
  </w:style>
  <w:style w:type="character" w:styleId="676">
    <w:name w:val="Heading 4 Char"/>
    <w:basedOn w:val="847"/>
    <w:link w:val="675"/>
    <w:uiPriority w:val="9"/>
    <w:rPr>
      <w:rFonts w:ascii="Arial" w:hAnsi="Arial" w:eastAsia="Arial" w:cs="Arial"/>
      <w:b/>
      <w:bCs/>
      <w:sz w:val="26"/>
      <w:szCs w:val="26"/>
    </w:rPr>
  </w:style>
  <w:style w:type="paragraph" w:styleId="677">
    <w:name w:val="Heading 5"/>
    <w:basedOn w:val="844"/>
    <w:next w:val="844"/>
    <w:link w:val="678"/>
    <w:uiPriority w:val="9"/>
    <w:unhideWhenUsed/>
    <w:qFormat/>
    <w:pPr>
      <w:keepLines/>
      <w:keepNext/>
      <w:spacing w:before="320" w:after="200"/>
      <w:outlineLvl w:val="4"/>
    </w:pPr>
    <w:rPr>
      <w:rFonts w:ascii="Arial" w:hAnsi="Arial" w:eastAsia="Arial" w:cs="Arial"/>
      <w:b/>
      <w:bCs/>
      <w:sz w:val="24"/>
      <w:szCs w:val="24"/>
    </w:rPr>
  </w:style>
  <w:style w:type="character" w:styleId="678">
    <w:name w:val="Heading 5 Char"/>
    <w:basedOn w:val="847"/>
    <w:link w:val="677"/>
    <w:uiPriority w:val="9"/>
    <w:rPr>
      <w:rFonts w:ascii="Arial" w:hAnsi="Arial" w:eastAsia="Arial" w:cs="Arial"/>
      <w:b/>
      <w:bCs/>
      <w:sz w:val="24"/>
      <w:szCs w:val="24"/>
    </w:rPr>
  </w:style>
  <w:style w:type="paragraph" w:styleId="679">
    <w:name w:val="Heading 6"/>
    <w:basedOn w:val="844"/>
    <w:next w:val="844"/>
    <w:link w:val="680"/>
    <w:uiPriority w:val="9"/>
    <w:unhideWhenUsed/>
    <w:qFormat/>
    <w:pPr>
      <w:keepLines/>
      <w:keepNext/>
      <w:spacing w:before="320" w:after="200"/>
      <w:outlineLvl w:val="5"/>
    </w:pPr>
    <w:rPr>
      <w:rFonts w:ascii="Arial" w:hAnsi="Arial" w:eastAsia="Arial" w:cs="Arial"/>
      <w:b/>
      <w:bCs/>
      <w:sz w:val="22"/>
      <w:szCs w:val="22"/>
    </w:rPr>
  </w:style>
  <w:style w:type="character" w:styleId="680">
    <w:name w:val="Heading 6 Char"/>
    <w:basedOn w:val="847"/>
    <w:link w:val="679"/>
    <w:uiPriority w:val="9"/>
    <w:rPr>
      <w:rFonts w:ascii="Arial" w:hAnsi="Arial" w:eastAsia="Arial" w:cs="Arial"/>
      <w:b/>
      <w:bCs/>
      <w:sz w:val="22"/>
      <w:szCs w:val="22"/>
    </w:rPr>
  </w:style>
  <w:style w:type="paragraph" w:styleId="681">
    <w:name w:val="Heading 7"/>
    <w:basedOn w:val="844"/>
    <w:next w:val="844"/>
    <w:link w:val="682"/>
    <w:uiPriority w:val="9"/>
    <w:unhideWhenUsed/>
    <w:qFormat/>
    <w:pPr>
      <w:keepLines/>
      <w:keepNext/>
      <w:spacing w:before="320" w:after="200"/>
      <w:outlineLvl w:val="6"/>
    </w:pPr>
    <w:rPr>
      <w:rFonts w:ascii="Arial" w:hAnsi="Arial" w:eastAsia="Arial" w:cs="Arial"/>
      <w:b/>
      <w:bCs/>
      <w:i/>
      <w:iCs/>
      <w:sz w:val="22"/>
      <w:szCs w:val="22"/>
    </w:rPr>
  </w:style>
  <w:style w:type="character" w:styleId="682">
    <w:name w:val="Heading 7 Char"/>
    <w:basedOn w:val="847"/>
    <w:link w:val="681"/>
    <w:uiPriority w:val="9"/>
    <w:rPr>
      <w:rFonts w:ascii="Arial" w:hAnsi="Arial" w:eastAsia="Arial" w:cs="Arial"/>
      <w:b/>
      <w:bCs/>
      <w:i/>
      <w:iCs/>
      <w:sz w:val="22"/>
      <w:szCs w:val="22"/>
    </w:rPr>
  </w:style>
  <w:style w:type="paragraph" w:styleId="683">
    <w:name w:val="Heading 8"/>
    <w:basedOn w:val="844"/>
    <w:next w:val="844"/>
    <w:link w:val="684"/>
    <w:uiPriority w:val="9"/>
    <w:unhideWhenUsed/>
    <w:qFormat/>
    <w:pPr>
      <w:keepLines/>
      <w:keepNext/>
      <w:spacing w:before="320" w:after="200"/>
      <w:outlineLvl w:val="7"/>
    </w:pPr>
    <w:rPr>
      <w:rFonts w:ascii="Arial" w:hAnsi="Arial" w:eastAsia="Arial" w:cs="Arial"/>
      <w:i/>
      <w:iCs/>
      <w:sz w:val="22"/>
      <w:szCs w:val="22"/>
    </w:rPr>
  </w:style>
  <w:style w:type="character" w:styleId="684">
    <w:name w:val="Heading 8 Char"/>
    <w:basedOn w:val="847"/>
    <w:link w:val="683"/>
    <w:uiPriority w:val="9"/>
    <w:rPr>
      <w:rFonts w:ascii="Arial" w:hAnsi="Arial" w:eastAsia="Arial" w:cs="Arial"/>
      <w:i/>
      <w:iCs/>
      <w:sz w:val="22"/>
      <w:szCs w:val="22"/>
    </w:rPr>
  </w:style>
  <w:style w:type="paragraph" w:styleId="685">
    <w:name w:val="Heading 9"/>
    <w:basedOn w:val="844"/>
    <w:next w:val="844"/>
    <w:link w:val="686"/>
    <w:uiPriority w:val="9"/>
    <w:unhideWhenUsed/>
    <w:qFormat/>
    <w:pPr>
      <w:keepLines/>
      <w:keepNext/>
      <w:spacing w:before="320" w:after="200"/>
      <w:outlineLvl w:val="8"/>
    </w:pPr>
    <w:rPr>
      <w:rFonts w:ascii="Arial" w:hAnsi="Arial" w:eastAsia="Arial" w:cs="Arial"/>
      <w:i/>
      <w:iCs/>
      <w:sz w:val="21"/>
      <w:szCs w:val="21"/>
    </w:rPr>
  </w:style>
  <w:style w:type="character" w:styleId="686">
    <w:name w:val="Heading 9 Char"/>
    <w:basedOn w:val="847"/>
    <w:link w:val="685"/>
    <w:uiPriority w:val="9"/>
    <w:rPr>
      <w:rFonts w:ascii="Arial" w:hAnsi="Arial" w:eastAsia="Arial" w:cs="Arial"/>
      <w:i/>
      <w:iCs/>
      <w:sz w:val="21"/>
      <w:szCs w:val="21"/>
    </w:rPr>
  </w:style>
  <w:style w:type="paragraph" w:styleId="687">
    <w:name w:val="List Paragraph"/>
    <w:basedOn w:val="844"/>
    <w:uiPriority w:val="34"/>
    <w:qFormat/>
    <w:pPr>
      <w:contextualSpacing/>
      <w:ind w:left="720"/>
    </w:pPr>
  </w:style>
  <w:style w:type="paragraph" w:styleId="688">
    <w:name w:val="No Spacing"/>
    <w:uiPriority w:val="1"/>
    <w:qFormat/>
    <w:pPr>
      <w:spacing w:before="0" w:after="0" w:line="240" w:lineRule="auto"/>
    </w:pPr>
  </w:style>
  <w:style w:type="paragraph" w:styleId="689">
    <w:name w:val="Title"/>
    <w:basedOn w:val="844"/>
    <w:next w:val="844"/>
    <w:link w:val="690"/>
    <w:uiPriority w:val="10"/>
    <w:qFormat/>
    <w:pPr>
      <w:contextualSpacing/>
      <w:spacing w:before="300" w:after="200"/>
    </w:pPr>
    <w:rPr>
      <w:sz w:val="48"/>
      <w:szCs w:val="48"/>
    </w:rPr>
  </w:style>
  <w:style w:type="character" w:styleId="690">
    <w:name w:val="Title Char"/>
    <w:basedOn w:val="847"/>
    <w:link w:val="689"/>
    <w:uiPriority w:val="10"/>
    <w:rPr>
      <w:sz w:val="48"/>
      <w:szCs w:val="48"/>
    </w:rPr>
  </w:style>
  <w:style w:type="paragraph" w:styleId="691">
    <w:name w:val="Subtitle"/>
    <w:basedOn w:val="844"/>
    <w:next w:val="844"/>
    <w:link w:val="692"/>
    <w:uiPriority w:val="11"/>
    <w:qFormat/>
    <w:pPr>
      <w:spacing w:before="200" w:after="200"/>
    </w:pPr>
    <w:rPr>
      <w:sz w:val="24"/>
      <w:szCs w:val="24"/>
    </w:rPr>
  </w:style>
  <w:style w:type="character" w:styleId="692">
    <w:name w:val="Subtitle Char"/>
    <w:basedOn w:val="847"/>
    <w:link w:val="691"/>
    <w:uiPriority w:val="11"/>
    <w:rPr>
      <w:sz w:val="24"/>
      <w:szCs w:val="24"/>
    </w:rPr>
  </w:style>
  <w:style w:type="paragraph" w:styleId="693">
    <w:name w:val="Quote"/>
    <w:basedOn w:val="844"/>
    <w:next w:val="844"/>
    <w:link w:val="694"/>
    <w:uiPriority w:val="29"/>
    <w:qFormat/>
    <w:pPr>
      <w:ind w:left="720" w:right="720"/>
    </w:pPr>
    <w:rPr>
      <w:i/>
    </w:rPr>
  </w:style>
  <w:style w:type="character" w:styleId="694">
    <w:name w:val="Quote Char"/>
    <w:link w:val="693"/>
    <w:uiPriority w:val="29"/>
    <w:rPr>
      <w:i/>
    </w:rPr>
  </w:style>
  <w:style w:type="paragraph" w:styleId="695">
    <w:name w:val="Intense Quote"/>
    <w:basedOn w:val="844"/>
    <w:next w:val="844"/>
    <w:link w:val="696"/>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696">
    <w:name w:val="Intense Quote Char"/>
    <w:link w:val="695"/>
    <w:uiPriority w:val="30"/>
    <w:rPr>
      <w:i/>
    </w:rPr>
  </w:style>
  <w:style w:type="character" w:styleId="697">
    <w:name w:val="Header Char"/>
    <w:basedOn w:val="847"/>
    <w:link w:val="855"/>
    <w:uiPriority w:val="99"/>
  </w:style>
  <w:style w:type="character" w:styleId="698">
    <w:name w:val="Footer Char"/>
    <w:basedOn w:val="847"/>
    <w:link w:val="854"/>
    <w:uiPriority w:val="99"/>
  </w:style>
  <w:style w:type="paragraph" w:styleId="699">
    <w:name w:val="Caption"/>
    <w:basedOn w:val="844"/>
    <w:next w:val="844"/>
    <w:uiPriority w:val="35"/>
    <w:semiHidden/>
    <w:unhideWhenUsed/>
    <w:qFormat/>
    <w:pPr>
      <w:spacing w:line="276" w:lineRule="auto"/>
    </w:pPr>
    <w:rPr>
      <w:b/>
      <w:bCs/>
      <w:color w:val="4f81bd" w:themeColor="accent1"/>
      <w:sz w:val="18"/>
      <w:szCs w:val="18"/>
    </w:rPr>
  </w:style>
  <w:style w:type="character" w:styleId="700">
    <w:name w:val="Caption Char"/>
    <w:basedOn w:val="699"/>
    <w:link w:val="854"/>
    <w:uiPriority w:val="99"/>
  </w:style>
  <w:style w:type="table" w:styleId="701">
    <w:name w:val="Table Grid Light"/>
    <w:basedOn w:val="848"/>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702">
    <w:name w:val="Plain Table 1"/>
    <w:basedOn w:val="848"/>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03">
    <w:name w:val="Plain Table 2"/>
    <w:basedOn w:val="848"/>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04">
    <w:name w:val="Plain Table 3"/>
    <w:basedOn w:val="848"/>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05">
    <w:name w:val="Plain Table 4"/>
    <w:basedOn w:val="848"/>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06">
    <w:name w:val="Plain Table 5"/>
    <w:basedOn w:val="848"/>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707">
    <w:name w:val="Grid Table 1 Light"/>
    <w:basedOn w:val="848"/>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708">
    <w:name w:val="Grid Table 1 Light - Accent 1"/>
    <w:basedOn w:val="848"/>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709">
    <w:name w:val="Grid Table 1 Light - Accent 2"/>
    <w:basedOn w:val="848"/>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710">
    <w:name w:val="Grid Table 1 Light - Accent 3"/>
    <w:basedOn w:val="848"/>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711">
    <w:name w:val="Grid Table 1 Light - Accent 4"/>
    <w:basedOn w:val="848"/>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712">
    <w:name w:val="Grid Table 1 Light - Accent 5"/>
    <w:basedOn w:val="848"/>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713">
    <w:name w:val="Grid Table 1 Light - Accent 6"/>
    <w:basedOn w:val="848"/>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714">
    <w:name w:val="Grid Table 2"/>
    <w:basedOn w:val="848"/>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715">
    <w:name w:val="Grid Table 2 - Accent 1"/>
    <w:basedOn w:val="848"/>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debf6" w:themeFill="accent1" w:themeFillTint="34"/>
      </w:tcPr>
    </w:tblStylePr>
    <w:tblStylePr w:type="band1Vert">
      <w:rPr>
        <w:rFonts w:ascii="Arial" w:hAnsi="Arial"/>
        <w:color w:val="404040"/>
        <w:sz w:val="22"/>
      </w:rPr>
      <w:tcPr>
        <w:shd w:val="clear" w:color="ffffff" w:themeColor="accent1" w:themeTint="34" w:fill="ddebf6"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716">
    <w:name w:val="Grid Table 2 - Accent 2"/>
    <w:basedOn w:val="848"/>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be5d6" w:themeFill="accent2" w:themeFillTint="32"/>
      </w:tcPr>
    </w:tblStylePr>
    <w:tblStylePr w:type="band1Vert">
      <w:rPr>
        <w:rFonts w:ascii="Arial" w:hAnsi="Arial"/>
        <w:color w:val="404040"/>
        <w:sz w:val="22"/>
      </w:rPr>
      <w:tcPr>
        <w:shd w:val="clear" w:color="ffffff" w:themeColor="accent2" w:themeTint="32" w:fill="fbe5d6"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717">
    <w:name w:val="Grid Table 2 - Accent 3"/>
    <w:basedOn w:val="848"/>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deded" w:themeFill="accent3" w:themeFillTint="34"/>
      </w:tcPr>
    </w:tblStylePr>
    <w:tblStylePr w:type="band1Vert">
      <w:rPr>
        <w:rFonts w:ascii="Arial" w:hAnsi="Arial"/>
        <w:color w:val="404040"/>
        <w:sz w:val="22"/>
      </w:rPr>
      <w:tcPr>
        <w:shd w:val="clear" w:color="ffffff" w:themeColor="accent3" w:themeTint="34" w:fill="edede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718">
    <w:name w:val="Grid Table 2 - Accent 4"/>
    <w:basedOn w:val="848"/>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fef2cb" w:themeFill="accent4" w:themeFillTint="34"/>
      </w:tcPr>
    </w:tblStylePr>
    <w:tblStylePr w:type="band1Vert">
      <w:rPr>
        <w:rFonts w:ascii="Arial" w:hAnsi="Arial"/>
        <w:color w:val="404040"/>
        <w:sz w:val="22"/>
      </w:rPr>
      <w:tcPr>
        <w:shd w:val="clear" w:color="ffffff" w:themeColor="accent4" w:themeTint="34" w:fill="fef2cb"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719">
    <w:name w:val="Grid Table 2 - Accent 5"/>
    <w:basedOn w:val="848"/>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9e2f2" w:themeFill="accent5" w:themeFillTint="34"/>
      </w:tcPr>
    </w:tblStylePr>
    <w:tblStylePr w:type="band1Vert">
      <w:rPr>
        <w:rFonts w:ascii="Arial" w:hAnsi="Arial"/>
        <w:color w:val="404040"/>
        <w:sz w:val="22"/>
      </w:rPr>
      <w:tcPr>
        <w:shd w:val="clear" w:color="ffffff" w:themeColor="accent5" w:themeTint="34" w:fill="d9e2f2"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720">
    <w:name w:val="Grid Table 2 - Accent 6"/>
    <w:basedOn w:val="848"/>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e2efd8" w:themeFill="accent6" w:themeFillTint="34"/>
      </w:tcPr>
    </w:tblStylePr>
    <w:tblStylePr w:type="band1Vert">
      <w:rPr>
        <w:rFonts w:ascii="Arial" w:hAnsi="Arial"/>
        <w:color w:val="404040"/>
        <w:sz w:val="22"/>
      </w:rPr>
      <w:tcPr>
        <w:shd w:val="clear" w:color="ffffff" w:themeColor="accent6" w:themeTint="34" w:fill="e2ef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721">
    <w:name w:val="Grid Table 3"/>
    <w:basedOn w:val="848"/>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22">
    <w:name w:val="Grid Table 3 - Accent 1"/>
    <w:basedOn w:val="848"/>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debf6" w:themeFill="accent1" w:themeFillTint="34"/>
      </w:tcPr>
    </w:tblStylePr>
    <w:tblStylePr w:type="band1Vert">
      <w:rPr>
        <w:rFonts w:ascii="Arial" w:hAnsi="Arial"/>
        <w:color w:val="404040"/>
        <w:sz w:val="22"/>
      </w:rPr>
      <w:tcPr>
        <w:shd w:val="clear" w:color="ffffff" w:themeColor="accent1" w:themeTint="34" w:fill="ddebf6"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23">
    <w:name w:val="Grid Table 3 - Accent 2"/>
    <w:basedOn w:val="848"/>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be5d6" w:themeFill="accent2" w:themeFillTint="32"/>
      </w:tcPr>
    </w:tblStylePr>
    <w:tblStylePr w:type="band1Vert">
      <w:rPr>
        <w:rFonts w:ascii="Arial" w:hAnsi="Arial"/>
        <w:color w:val="404040"/>
        <w:sz w:val="22"/>
      </w:rPr>
      <w:tcPr>
        <w:shd w:val="clear" w:color="ffffff" w:themeColor="accent2" w:themeTint="32" w:fill="fbe5d6"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24">
    <w:name w:val="Grid Table 3 - Accent 3"/>
    <w:basedOn w:val="848"/>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deded" w:themeFill="accent3" w:themeFillTint="34"/>
      </w:tcPr>
    </w:tblStylePr>
    <w:tblStylePr w:type="band1Vert">
      <w:rPr>
        <w:rFonts w:ascii="Arial" w:hAnsi="Arial"/>
        <w:color w:val="404040"/>
        <w:sz w:val="22"/>
      </w:rPr>
      <w:tcPr>
        <w:shd w:val="clear" w:color="ffffff" w:themeColor="accent3" w:themeTint="34" w:fill="ededed"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25">
    <w:name w:val="Grid Table 3 - Accent 4"/>
    <w:basedOn w:val="848"/>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fef2cb" w:themeFill="accent4" w:themeFillTint="34"/>
      </w:tcPr>
    </w:tblStylePr>
    <w:tblStylePr w:type="band1Vert">
      <w:rPr>
        <w:rFonts w:ascii="Arial" w:hAnsi="Arial"/>
        <w:color w:val="404040"/>
        <w:sz w:val="22"/>
      </w:rPr>
      <w:tcPr>
        <w:shd w:val="clear" w:color="ffffff" w:themeColor="accent4" w:themeTint="34" w:fill="fef2cb"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26">
    <w:name w:val="Grid Table 3 - Accent 5"/>
    <w:basedOn w:val="848"/>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9e2f2" w:themeFill="accent5" w:themeFillTint="34"/>
      </w:tcPr>
    </w:tblStylePr>
    <w:tblStylePr w:type="band1Vert">
      <w:rPr>
        <w:rFonts w:ascii="Arial" w:hAnsi="Arial"/>
        <w:color w:val="404040"/>
        <w:sz w:val="22"/>
      </w:rPr>
      <w:tcPr>
        <w:shd w:val="clear" w:color="ffffff" w:themeColor="accent5" w:themeTint="34" w:fill="d9e2f2"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27">
    <w:name w:val="Grid Table 3 - Accent 6"/>
    <w:basedOn w:val="848"/>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e2efd8" w:themeFill="accent6" w:themeFillTint="34"/>
      </w:tcPr>
    </w:tblStylePr>
    <w:tblStylePr w:type="band1Vert">
      <w:rPr>
        <w:rFonts w:ascii="Arial" w:hAnsi="Arial"/>
        <w:color w:val="404040"/>
        <w:sz w:val="22"/>
      </w:rPr>
      <w:tcPr>
        <w:shd w:val="clear" w:color="ffffff" w:themeColor="accent6" w:themeTint="34" w:fill="e2efd8"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28">
    <w:name w:val="Grid Table 4"/>
    <w:basedOn w:val="848"/>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29">
    <w:name w:val="Grid Table 4 - Accent 1"/>
    <w:basedOn w:val="848"/>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febf6" w:themeFill="accent1" w:themeFillTint="32"/>
      </w:tcPr>
    </w:tblStylePr>
    <w:tblStylePr w:type="band1Vert">
      <w:rPr>
        <w:rFonts w:ascii="Arial" w:hAnsi="Arial"/>
        <w:color w:val="404040"/>
        <w:sz w:val="22"/>
      </w:rPr>
      <w:tcPr>
        <w:shd w:val="clear" w:color="ffffff" w:themeColor="accent1" w:themeTint="32" w:fill="dfebf6"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67a4d8"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730">
    <w:name w:val="Grid Table 4 - Accent 2"/>
    <w:basedOn w:val="848"/>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be5d6" w:themeFill="accent2" w:themeFillTint="32"/>
      </w:tcPr>
    </w:tblStylePr>
    <w:tblStylePr w:type="band1Vert">
      <w:rPr>
        <w:rFonts w:ascii="Arial" w:hAnsi="Arial"/>
        <w:color w:val="404040"/>
        <w:sz w:val="22"/>
      </w:rPr>
      <w:tcPr>
        <w:shd w:val="clear" w:color="ffffff" w:themeColor="accent2" w:themeTint="32" w:fill="fbe5d6"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f4b185"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731">
    <w:name w:val="Grid Table 4 - Accent 3"/>
    <w:basedOn w:val="848"/>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deded" w:themeFill="accent3" w:themeFillTint="34"/>
      </w:tcPr>
    </w:tblStylePr>
    <w:tblStylePr w:type="band1Vert">
      <w:rPr>
        <w:rFonts w:ascii="Arial" w:hAnsi="Arial"/>
        <w:color w:val="404040"/>
        <w:sz w:val="22"/>
      </w:rPr>
      <w:tcPr>
        <w:shd w:val="clear" w:color="ffffff" w:themeColor="accent3" w:themeTint="34" w:fill="edede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a5a5a5"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732">
    <w:name w:val="Grid Table 4 - Accent 4"/>
    <w:basedOn w:val="848"/>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fef2cb" w:themeFill="accent4" w:themeFillTint="34"/>
      </w:tcPr>
    </w:tblStylePr>
    <w:tblStylePr w:type="band1Vert">
      <w:rPr>
        <w:rFonts w:ascii="Arial" w:hAnsi="Arial"/>
        <w:color w:val="404040"/>
        <w:sz w:val="22"/>
      </w:rPr>
      <w:tcPr>
        <w:shd w:val="clear" w:color="ffffff" w:themeColor="accent4" w:themeTint="34" w:fill="fef2cb"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ffd864"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733">
    <w:name w:val="Grid Table 4 - Accent 5"/>
    <w:basedOn w:val="848"/>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9e2f2" w:themeFill="accent5" w:themeFillTint="34"/>
      </w:tcPr>
    </w:tblStylePr>
    <w:tblStylePr w:type="band1Vert">
      <w:rPr>
        <w:rFonts w:ascii="Arial" w:hAnsi="Arial"/>
        <w:color w:val="404040"/>
        <w:sz w:val="22"/>
      </w:rPr>
      <w:tcPr>
        <w:shd w:val="clear" w:color="ffffff" w:themeColor="accent5" w:themeTint="34" w:fill="d9e2f2"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472c4"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734">
    <w:name w:val="Grid Table 4 - Accent 6"/>
    <w:basedOn w:val="848"/>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e2efd8" w:themeFill="accent6" w:themeFillTint="34"/>
      </w:tcPr>
    </w:tblStylePr>
    <w:tblStylePr w:type="band1Vert">
      <w:rPr>
        <w:rFonts w:ascii="Arial" w:hAnsi="Arial"/>
        <w:color w:val="404040"/>
        <w:sz w:val="22"/>
      </w:rPr>
      <w:tcPr>
        <w:shd w:val="clear" w:color="ffffff" w:themeColor="accent6" w:themeTint="34" w:fill="e2ef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70ad47"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735">
    <w:name w:val="Grid Table 5 Dark"/>
    <w:basedOn w:val="848"/>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736">
    <w:name w:val="Grid Table 5 Dark- Accent 1"/>
    <w:basedOn w:val="848"/>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debf6" w:themeFill="accent1" w:themeFillTint="34"/>
    </w:tblPr>
    <w:tblStylePr w:type="band1Horz">
      <w:tcPr>
        <w:shd w:val="clear" w:color="ffffff" w:themeColor="accent1" w:themeTint="75" w:fill="b4d2eb" w:themeFill="accent1" w:themeFillTint="75"/>
      </w:tcPr>
    </w:tblStylePr>
    <w:tblStylePr w:type="band1Vert">
      <w:tcPr>
        <w:shd w:val="clear" w:color="ffffff" w:themeColor="accent1" w:themeTint="75" w:fill="b4d2eb" w:themeFill="accent1" w:themeFillTint="75"/>
      </w:tcPr>
    </w:tblStylePr>
    <w:tblStylePr w:type="firstCol">
      <w:rPr>
        <w:rFonts w:ascii="Arial" w:hAnsi="Arial"/>
        <w:b/>
        <w:color w:val="ffffff"/>
        <w:sz w:val="22"/>
      </w:rPr>
      <w:tcPr>
        <w:shd w:val="clear" w:color="ffffff" w:themeColor="accent1" w:fill="5b9bd5" w:themeFill="accent1"/>
      </w:tcPr>
    </w:tblStylePr>
    <w:tblStylePr w:type="firstRow">
      <w:rPr>
        <w:rFonts w:ascii="Arial" w:hAnsi="Arial"/>
        <w:b/>
        <w:color w:val="ffffff"/>
        <w:sz w:val="22"/>
      </w:rPr>
      <w:tcPr>
        <w:shd w:val="clear" w:color="ffffff" w:themeColor="accent1" w:fill="5b9bd5" w:themeFill="accent1"/>
      </w:tcPr>
    </w:tblStylePr>
    <w:tblStylePr w:type="lastCol">
      <w:rPr>
        <w:rFonts w:ascii="Arial" w:hAnsi="Arial"/>
        <w:b/>
        <w:color w:val="ffffff"/>
        <w:sz w:val="22"/>
      </w:rPr>
      <w:tcPr>
        <w:shd w:val="clear" w:color="ffffff" w:themeColor="accent1" w:fill="5b9bd5" w:themeFill="accent1"/>
      </w:tcPr>
    </w:tblStylePr>
    <w:tblStylePr w:type="lastRow">
      <w:rPr>
        <w:rFonts w:ascii="Arial" w:hAnsi="Arial"/>
        <w:b/>
        <w:color w:val="ffffff"/>
        <w:sz w:val="22"/>
      </w:rPr>
      <w:tcPr>
        <w:shd w:val="clear" w:color="ffffff" w:themeColor="accent1" w:fill="5b9bd5" w:themeFill="accent1"/>
        <w:tcBorders>
          <w:top w:val="single" w:color="000000" w:themeColor="light1" w:sz="4" w:space="0"/>
        </w:tcBorders>
      </w:tcPr>
    </w:tblStylePr>
  </w:style>
  <w:style w:type="table" w:styleId="737">
    <w:name w:val="Grid Table 5 Dark - Accent 2"/>
    <w:basedOn w:val="848"/>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be5d6" w:themeFill="accent2" w:themeFillTint="32"/>
    </w:tblPr>
    <w:tblStylePr w:type="band1Horz">
      <w:tcPr>
        <w:shd w:val="clear" w:color="ffffff" w:themeColor="accent2" w:themeTint="75" w:fill="f6c3a1" w:themeFill="accent2" w:themeFillTint="75"/>
      </w:tcPr>
    </w:tblStylePr>
    <w:tblStylePr w:type="band1Vert">
      <w:tcPr>
        <w:shd w:val="clear" w:color="ffffff" w:themeColor="accent2" w:themeTint="75" w:fill="f6c3a1" w:themeFill="accent2" w:themeFillTint="75"/>
      </w:tcPr>
    </w:tblStylePr>
    <w:tblStylePr w:type="firstCol">
      <w:rPr>
        <w:rFonts w:ascii="Arial" w:hAnsi="Arial"/>
        <w:b/>
        <w:color w:val="ffffff"/>
        <w:sz w:val="22"/>
      </w:rPr>
      <w:tcPr>
        <w:shd w:val="clear" w:color="ffffff" w:themeColor="accent2" w:fill="ed7d31" w:themeFill="accent2"/>
      </w:tcPr>
    </w:tblStylePr>
    <w:tblStylePr w:type="firstRow">
      <w:rPr>
        <w:rFonts w:ascii="Arial" w:hAnsi="Arial"/>
        <w:b/>
        <w:color w:val="ffffff"/>
        <w:sz w:val="22"/>
      </w:rPr>
      <w:tcPr>
        <w:shd w:val="clear" w:color="ffffff" w:themeColor="accent2" w:fill="ed7d31" w:themeFill="accent2"/>
      </w:tcPr>
    </w:tblStylePr>
    <w:tblStylePr w:type="lastCol">
      <w:rPr>
        <w:rFonts w:ascii="Arial" w:hAnsi="Arial"/>
        <w:b/>
        <w:color w:val="ffffff"/>
        <w:sz w:val="22"/>
      </w:rPr>
      <w:tcPr>
        <w:shd w:val="clear" w:color="ffffff" w:themeColor="accent2" w:fill="ed7d31" w:themeFill="accent2"/>
      </w:tcPr>
    </w:tblStylePr>
    <w:tblStylePr w:type="lastRow">
      <w:rPr>
        <w:rFonts w:ascii="Arial" w:hAnsi="Arial"/>
        <w:b/>
        <w:color w:val="ffffff"/>
        <w:sz w:val="22"/>
      </w:rPr>
      <w:tcPr>
        <w:shd w:val="clear" w:color="ffffff" w:themeColor="accent2" w:fill="ed7d31" w:themeFill="accent2"/>
        <w:tcBorders>
          <w:top w:val="single" w:color="000000" w:themeColor="light1" w:sz="4" w:space="0"/>
        </w:tcBorders>
      </w:tcPr>
    </w:tblStylePr>
  </w:style>
  <w:style w:type="table" w:styleId="738">
    <w:name w:val="Grid Table 5 Dark - Accent 3"/>
    <w:basedOn w:val="848"/>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deded" w:themeFill="accent3" w:themeFillTint="34"/>
    </w:tblPr>
    <w:tblStylePr w:type="band1Horz">
      <w:tcPr>
        <w:shd w:val="clear" w:color="ffffff" w:themeColor="accent3" w:themeTint="75" w:fill="d6d6d6" w:themeFill="accent3" w:themeFillTint="75"/>
      </w:tcPr>
    </w:tblStylePr>
    <w:tblStylePr w:type="band1Vert">
      <w:tcPr>
        <w:shd w:val="clear" w:color="ffffff" w:themeColor="accent3" w:themeTint="75" w:fill="d6d6d6" w:themeFill="accent3" w:themeFillTint="75"/>
      </w:tcPr>
    </w:tblStylePr>
    <w:tblStylePr w:type="firstCol">
      <w:rPr>
        <w:rFonts w:ascii="Arial" w:hAnsi="Arial"/>
        <w:b/>
        <w:color w:val="ffffff"/>
        <w:sz w:val="22"/>
      </w:rPr>
      <w:tcPr>
        <w:shd w:val="clear" w:color="ffffff" w:themeColor="accent3" w:fill="a5a5a5" w:themeFill="accent3"/>
      </w:tcPr>
    </w:tblStylePr>
    <w:tblStylePr w:type="firstRow">
      <w:rPr>
        <w:rFonts w:ascii="Arial" w:hAnsi="Arial"/>
        <w:b/>
        <w:color w:val="ffffff"/>
        <w:sz w:val="22"/>
      </w:rPr>
      <w:tcPr>
        <w:shd w:val="clear" w:color="ffffff" w:themeColor="accent3" w:fill="a5a5a5" w:themeFill="accent3"/>
      </w:tcPr>
    </w:tblStylePr>
    <w:tblStylePr w:type="lastCol">
      <w:rPr>
        <w:rFonts w:ascii="Arial" w:hAnsi="Arial"/>
        <w:b/>
        <w:color w:val="ffffff"/>
        <w:sz w:val="22"/>
      </w:rPr>
      <w:tcPr>
        <w:shd w:val="clear" w:color="ffffff" w:themeColor="accent3" w:fill="a5a5a5" w:themeFill="accent3"/>
      </w:tcPr>
    </w:tblStylePr>
    <w:tblStylePr w:type="lastRow">
      <w:rPr>
        <w:rFonts w:ascii="Arial" w:hAnsi="Arial"/>
        <w:b/>
        <w:color w:val="ffffff"/>
        <w:sz w:val="22"/>
      </w:rPr>
      <w:tcPr>
        <w:shd w:val="clear" w:color="ffffff" w:themeColor="accent3" w:fill="a5a5a5" w:themeFill="accent3"/>
        <w:tcBorders>
          <w:top w:val="single" w:color="000000" w:themeColor="light1" w:sz="4" w:space="0"/>
        </w:tcBorders>
      </w:tcPr>
    </w:tblStylePr>
  </w:style>
  <w:style w:type="table" w:styleId="739">
    <w:name w:val="Grid Table 5 Dark- Accent 4"/>
    <w:basedOn w:val="848"/>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fef2cb" w:themeFill="accent4" w:themeFillTint="34"/>
    </w:tblPr>
    <w:tblStylePr w:type="band1Horz">
      <w:tcPr>
        <w:shd w:val="clear" w:color="ffffff" w:themeColor="accent4" w:themeTint="75" w:fill="fee189" w:themeFill="accent4" w:themeFillTint="75"/>
      </w:tcPr>
    </w:tblStylePr>
    <w:tblStylePr w:type="band1Vert">
      <w:tcPr>
        <w:shd w:val="clear" w:color="ffffff" w:themeColor="accent4" w:themeTint="75" w:fill="fee189" w:themeFill="accent4" w:themeFillTint="75"/>
      </w:tcPr>
    </w:tblStylePr>
    <w:tblStylePr w:type="firstCol">
      <w:rPr>
        <w:rFonts w:ascii="Arial" w:hAnsi="Arial"/>
        <w:b/>
        <w:color w:val="ffffff"/>
        <w:sz w:val="22"/>
      </w:rPr>
      <w:tcPr>
        <w:shd w:val="clear" w:color="ffffff" w:themeColor="accent4" w:fill="ffc000" w:themeFill="accent4"/>
      </w:tcPr>
    </w:tblStylePr>
    <w:tblStylePr w:type="firstRow">
      <w:rPr>
        <w:rFonts w:ascii="Arial" w:hAnsi="Arial"/>
        <w:b/>
        <w:color w:val="ffffff"/>
        <w:sz w:val="22"/>
      </w:rPr>
      <w:tcPr>
        <w:shd w:val="clear" w:color="ffffff" w:themeColor="accent4" w:fill="ffc000" w:themeFill="accent4"/>
      </w:tcPr>
    </w:tblStylePr>
    <w:tblStylePr w:type="lastCol">
      <w:rPr>
        <w:rFonts w:ascii="Arial" w:hAnsi="Arial"/>
        <w:b/>
        <w:color w:val="ffffff"/>
        <w:sz w:val="22"/>
      </w:rPr>
      <w:tcPr>
        <w:shd w:val="clear" w:color="ffffff" w:themeColor="accent4" w:fill="ffc000" w:themeFill="accent4"/>
      </w:tcPr>
    </w:tblStylePr>
    <w:tblStylePr w:type="lastRow">
      <w:rPr>
        <w:rFonts w:ascii="Arial" w:hAnsi="Arial"/>
        <w:b/>
        <w:color w:val="ffffff"/>
        <w:sz w:val="22"/>
      </w:rPr>
      <w:tcPr>
        <w:shd w:val="clear" w:color="ffffff" w:themeColor="accent4" w:fill="ffc000" w:themeFill="accent4"/>
        <w:tcBorders>
          <w:top w:val="single" w:color="000000" w:themeColor="light1" w:sz="4" w:space="0"/>
        </w:tcBorders>
      </w:tcPr>
    </w:tblStylePr>
  </w:style>
  <w:style w:type="table" w:styleId="740">
    <w:name w:val="Grid Table 5 Dark - Accent 5"/>
    <w:basedOn w:val="848"/>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9e2f2" w:themeFill="accent5" w:themeFillTint="34"/>
    </w:tblPr>
    <w:tblStylePr w:type="band1Horz">
      <w:tcPr>
        <w:shd w:val="clear" w:color="ffffff" w:themeColor="accent5" w:themeTint="75" w:fill="aabfe3" w:themeFill="accent5" w:themeFillTint="75"/>
      </w:tcPr>
    </w:tblStylePr>
    <w:tblStylePr w:type="band1Vert">
      <w:tcPr>
        <w:shd w:val="clear" w:color="ffffff" w:themeColor="accent5" w:themeTint="75" w:fill="aabfe3" w:themeFill="accent5" w:themeFillTint="75"/>
      </w:tcPr>
    </w:tblStylePr>
    <w:tblStylePr w:type="firstCol">
      <w:rPr>
        <w:rFonts w:ascii="Arial" w:hAnsi="Arial"/>
        <w:b/>
        <w:color w:val="ffffff"/>
        <w:sz w:val="22"/>
      </w:rPr>
      <w:tcPr>
        <w:shd w:val="clear" w:color="ffffff" w:themeColor="accent5" w:fill="4472c4" w:themeFill="accent5"/>
      </w:tcPr>
    </w:tblStylePr>
    <w:tblStylePr w:type="firstRow">
      <w:rPr>
        <w:rFonts w:ascii="Arial" w:hAnsi="Arial"/>
        <w:b/>
        <w:color w:val="ffffff"/>
        <w:sz w:val="22"/>
      </w:rPr>
      <w:tcPr>
        <w:shd w:val="clear" w:color="ffffff" w:themeColor="accent5" w:fill="4472c4" w:themeFill="accent5"/>
      </w:tcPr>
    </w:tblStylePr>
    <w:tblStylePr w:type="lastCol">
      <w:rPr>
        <w:rFonts w:ascii="Arial" w:hAnsi="Arial"/>
        <w:b/>
        <w:color w:val="ffffff"/>
        <w:sz w:val="22"/>
      </w:rPr>
      <w:tcPr>
        <w:shd w:val="clear" w:color="ffffff" w:themeColor="accent5" w:fill="4472c4" w:themeFill="accent5"/>
      </w:tcPr>
    </w:tblStylePr>
    <w:tblStylePr w:type="lastRow">
      <w:rPr>
        <w:rFonts w:ascii="Arial" w:hAnsi="Arial"/>
        <w:b/>
        <w:color w:val="ffffff"/>
        <w:sz w:val="22"/>
      </w:rPr>
      <w:tcPr>
        <w:shd w:val="clear" w:color="ffffff" w:themeColor="accent5" w:fill="4472c4" w:themeFill="accent5"/>
        <w:tcBorders>
          <w:top w:val="single" w:color="000000" w:themeColor="light1" w:sz="4" w:space="0"/>
        </w:tcBorders>
      </w:tcPr>
    </w:tblStylePr>
  </w:style>
  <w:style w:type="table" w:styleId="741">
    <w:name w:val="Grid Table 5 Dark - Accent 6"/>
    <w:basedOn w:val="848"/>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e2efd8" w:themeFill="accent6" w:themeFillTint="34"/>
    </w:tblPr>
    <w:tblStylePr w:type="band1Horz">
      <w:tcPr>
        <w:shd w:val="clear" w:color="ffffff" w:themeColor="accent6" w:themeTint="75" w:fill="bedba8" w:themeFill="accent6" w:themeFillTint="75"/>
      </w:tcPr>
    </w:tblStylePr>
    <w:tblStylePr w:type="band1Vert">
      <w:tcPr>
        <w:shd w:val="clear" w:color="ffffff" w:themeColor="accent6" w:themeTint="75" w:fill="bedba8" w:themeFill="accent6" w:themeFillTint="75"/>
      </w:tcPr>
    </w:tblStylePr>
    <w:tblStylePr w:type="firstCol">
      <w:rPr>
        <w:rFonts w:ascii="Arial" w:hAnsi="Arial"/>
        <w:b/>
        <w:color w:val="ffffff"/>
        <w:sz w:val="22"/>
      </w:rPr>
      <w:tcPr>
        <w:shd w:val="clear" w:color="ffffff" w:themeColor="accent6" w:fill="70ad47" w:themeFill="accent6"/>
      </w:tcPr>
    </w:tblStylePr>
    <w:tblStylePr w:type="firstRow">
      <w:rPr>
        <w:rFonts w:ascii="Arial" w:hAnsi="Arial"/>
        <w:b/>
        <w:color w:val="ffffff"/>
        <w:sz w:val="22"/>
      </w:rPr>
      <w:tcPr>
        <w:shd w:val="clear" w:color="ffffff" w:themeColor="accent6" w:fill="70ad47" w:themeFill="accent6"/>
      </w:tcPr>
    </w:tblStylePr>
    <w:tblStylePr w:type="lastCol">
      <w:rPr>
        <w:rFonts w:ascii="Arial" w:hAnsi="Arial"/>
        <w:b/>
        <w:color w:val="ffffff"/>
        <w:sz w:val="22"/>
      </w:rPr>
      <w:tcPr>
        <w:shd w:val="clear" w:color="ffffff" w:themeColor="accent6" w:fill="70ad47" w:themeFill="accent6"/>
      </w:tcPr>
    </w:tblStylePr>
    <w:tblStylePr w:type="lastRow">
      <w:rPr>
        <w:rFonts w:ascii="Arial" w:hAnsi="Arial"/>
        <w:b/>
        <w:color w:val="ffffff"/>
        <w:sz w:val="22"/>
      </w:rPr>
      <w:tcPr>
        <w:shd w:val="clear" w:color="ffffff" w:themeColor="accent6" w:fill="70ad47" w:themeFill="accent6"/>
        <w:tcBorders>
          <w:top w:val="single" w:color="000000" w:themeColor="light1" w:sz="4" w:space="0"/>
        </w:tcBorders>
      </w:tcPr>
    </w:tblStylePr>
  </w:style>
  <w:style w:type="table" w:styleId="742">
    <w:name w:val="Grid Table 6 Colorful"/>
    <w:basedOn w:val="848"/>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743">
    <w:name w:val="Grid Table 6 Colorful - Accent 1"/>
    <w:basedOn w:val="848"/>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debf6" w:themeFill="accent1" w:themeFillTint="34"/>
      </w:tcPr>
    </w:tblStylePr>
    <w:tblStylePr w:type="band1Vert">
      <w:tcPr>
        <w:shd w:val="clear" w:color="ffffff" w:themeColor="accent1" w:themeTint="34" w:fill="ddebf6" w:themeFill="accent1" w:themeFillTint="34"/>
      </w:tcPr>
    </w:tblStylePr>
    <w:tblStylePr w:type="band2Horz">
      <w:rPr>
        <w:rFonts w:ascii="Arial" w:hAnsi="Arial"/>
        <w:color w:val="404040" w:themeColor="accent1" w:themeTint="80" w:themeShade="95"/>
        <w:sz w:val="22"/>
      </w:rPr>
    </w:tblStylePr>
    <w:tblStylePr w:type="firstCol">
      <w:rPr>
        <w:b/>
        <w:color w:val="317bba" w:themeColor="accent1" w:themeTint="80" w:themeShade="95"/>
      </w:rPr>
    </w:tblStylePr>
    <w:tblStylePr w:type="firstRow">
      <w:rPr>
        <w:b/>
        <w:color w:val="317bba" w:themeColor="accent1" w:themeTint="80" w:themeShade="95"/>
      </w:rPr>
      <w:tcPr>
        <w:tcBorders>
          <w:bottom w:val="single" w:color="000000" w:themeColor="accent1" w:themeTint="80" w:sz="12" w:space="0"/>
        </w:tcBorders>
      </w:tcPr>
    </w:tblStylePr>
    <w:tblStylePr w:type="lastCol">
      <w:rPr>
        <w:b/>
        <w:color w:val="317bba" w:themeColor="accent1" w:themeTint="80" w:themeShade="95"/>
      </w:rPr>
    </w:tblStylePr>
    <w:tblStylePr w:type="lastRow">
      <w:rPr>
        <w:b/>
        <w:color w:val="317bba" w:themeColor="accent1" w:themeTint="80" w:themeShade="95"/>
      </w:rPr>
    </w:tblStylePr>
    <w:tblStylePr w:type="wholeTable">
      <w:rPr>
        <w:rFonts w:ascii="Arial" w:hAnsi="Arial"/>
        <w:color w:val="404040" w:themeColor="accent1" w:themeTint="80" w:themeShade="95"/>
        <w:sz w:val="22"/>
      </w:rPr>
    </w:tblStylePr>
  </w:style>
  <w:style w:type="table" w:styleId="744">
    <w:name w:val="Grid Table 6 Colorful - Accent 2"/>
    <w:basedOn w:val="848"/>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be5d6" w:themeFill="accent2" w:themeFillTint="32"/>
      </w:tcPr>
    </w:tblStylePr>
    <w:tblStylePr w:type="band1Vert">
      <w:tcPr>
        <w:shd w:val="clear" w:color="ffffff" w:themeColor="accent2" w:themeTint="32" w:fill="fbe5d6" w:themeFill="accent2" w:themeFillTint="32"/>
      </w:tcPr>
    </w:tblStylePr>
    <w:tblStylePr w:type="band2Horz">
      <w:rPr>
        <w:rFonts w:ascii="Arial" w:hAnsi="Arial"/>
        <w:color w:val="404040" w:themeColor="accent2" w:themeTint="97" w:themeShade="95"/>
        <w:sz w:val="22"/>
      </w:rPr>
    </w:tblStylePr>
    <w:tblStylePr w:type="firstCol">
      <w:rPr>
        <w:b/>
        <w:color w:val="c95712" w:themeColor="accent2" w:themeTint="97" w:themeShade="95"/>
      </w:rPr>
    </w:tblStylePr>
    <w:tblStylePr w:type="firstRow">
      <w:rPr>
        <w:b/>
        <w:color w:val="c95712" w:themeColor="accent2" w:themeTint="97" w:themeShade="95"/>
      </w:rPr>
      <w:tcPr>
        <w:tcBorders>
          <w:bottom w:val="single" w:color="000000" w:themeColor="accent2" w:themeTint="97" w:sz="12" w:space="0"/>
        </w:tcBorders>
      </w:tcPr>
    </w:tblStylePr>
    <w:tblStylePr w:type="lastCol">
      <w:rPr>
        <w:b/>
        <w:color w:val="c95712" w:themeColor="accent2" w:themeTint="97" w:themeShade="95"/>
      </w:rPr>
    </w:tblStylePr>
    <w:tblStylePr w:type="lastRow">
      <w:rPr>
        <w:b/>
        <w:color w:val="c95712" w:themeColor="accent2" w:themeTint="97" w:themeShade="95"/>
      </w:rPr>
    </w:tblStylePr>
    <w:tblStylePr w:type="wholeTable">
      <w:rPr>
        <w:rFonts w:ascii="Arial" w:hAnsi="Arial"/>
        <w:color w:val="404040" w:themeColor="accent2" w:themeTint="97" w:themeShade="95"/>
        <w:sz w:val="22"/>
      </w:rPr>
    </w:tblStylePr>
  </w:style>
  <w:style w:type="table" w:styleId="745">
    <w:name w:val="Grid Table 6 Colorful - Accent 3"/>
    <w:basedOn w:val="848"/>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deded" w:themeFill="accent3" w:themeFillTint="34"/>
      </w:tcPr>
    </w:tblStylePr>
    <w:tblStylePr w:type="band1Vert">
      <w:tcPr>
        <w:shd w:val="clear" w:color="ffffff" w:themeColor="accent3" w:themeTint="34" w:fill="ededed" w:themeFill="accent3" w:themeFillTint="34"/>
      </w:tcPr>
    </w:tblStylePr>
    <w:tblStylePr w:type="band2Horz">
      <w:rPr>
        <w:rFonts w:ascii="Arial" w:hAnsi="Arial"/>
        <w:color w:val="404040" w:themeColor="accent3" w:themeTint="FE" w:themeShade="95"/>
        <w:sz w:val="22"/>
      </w:rPr>
    </w:tblStylePr>
    <w:tblStylePr w:type="firstCol">
      <w:rPr>
        <w:b/>
        <w:color w:val="606060" w:themeColor="accent3" w:themeTint="FE" w:themeShade="95"/>
      </w:rPr>
    </w:tblStylePr>
    <w:tblStylePr w:type="firstRow">
      <w:rPr>
        <w:b/>
        <w:color w:val="606060" w:themeColor="accent3" w:themeTint="FE" w:themeShade="95"/>
      </w:rPr>
      <w:tcPr>
        <w:tcBorders>
          <w:bottom w:val="single" w:color="000000" w:themeColor="accent3" w:themeTint="FE" w:sz="12" w:space="0"/>
        </w:tcBorders>
      </w:tcPr>
    </w:tblStylePr>
    <w:tblStylePr w:type="lastCol">
      <w:rPr>
        <w:b/>
        <w:color w:val="606060" w:themeColor="accent3" w:themeTint="FE" w:themeShade="95"/>
      </w:rPr>
    </w:tblStylePr>
    <w:tblStylePr w:type="lastRow">
      <w:rPr>
        <w:b/>
        <w:color w:val="606060" w:themeColor="accent3" w:themeTint="FE" w:themeShade="95"/>
      </w:rPr>
    </w:tblStylePr>
    <w:tblStylePr w:type="wholeTable">
      <w:rPr>
        <w:rFonts w:ascii="Arial" w:hAnsi="Arial"/>
        <w:color w:val="404040" w:themeColor="accent3" w:themeTint="FE" w:themeShade="95"/>
        <w:sz w:val="22"/>
      </w:rPr>
    </w:tblStylePr>
  </w:style>
  <w:style w:type="table" w:styleId="746">
    <w:name w:val="Grid Table 6 Colorful - Accent 4"/>
    <w:basedOn w:val="848"/>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fef2cb" w:themeFill="accent4" w:themeFillTint="34"/>
      </w:tcPr>
    </w:tblStylePr>
    <w:tblStylePr w:type="band1Vert">
      <w:tcPr>
        <w:shd w:val="clear" w:color="ffffff" w:themeColor="accent4" w:themeTint="34" w:fill="fef2cb" w:themeFill="accent4" w:themeFillTint="34"/>
      </w:tcPr>
    </w:tblStylePr>
    <w:tblStylePr w:type="band2Horz">
      <w:rPr>
        <w:rFonts w:ascii="Arial" w:hAnsi="Arial"/>
        <w:color w:val="404040" w:themeColor="accent4" w:themeTint="9A" w:themeShade="95"/>
        <w:sz w:val="22"/>
      </w:rPr>
    </w:tblStylePr>
    <w:tblStylePr w:type="firstCol">
      <w:rPr>
        <w:b/>
        <w:color w:val="cd9600" w:themeColor="accent4" w:themeTint="9A" w:themeShade="95"/>
      </w:rPr>
    </w:tblStylePr>
    <w:tblStylePr w:type="firstRow">
      <w:rPr>
        <w:b/>
        <w:color w:val="cd9600" w:themeColor="accent4" w:themeTint="9A" w:themeShade="95"/>
      </w:rPr>
      <w:tcPr>
        <w:tcBorders>
          <w:bottom w:val="single" w:color="000000" w:themeColor="accent4" w:themeTint="9A" w:sz="12" w:space="0"/>
        </w:tcBorders>
      </w:tcPr>
    </w:tblStylePr>
    <w:tblStylePr w:type="lastCol">
      <w:rPr>
        <w:b/>
        <w:color w:val="cd9600" w:themeColor="accent4" w:themeTint="9A" w:themeShade="95"/>
      </w:rPr>
    </w:tblStylePr>
    <w:tblStylePr w:type="lastRow">
      <w:rPr>
        <w:b/>
        <w:color w:val="cd9600" w:themeColor="accent4" w:themeTint="9A" w:themeShade="95"/>
      </w:rPr>
    </w:tblStylePr>
    <w:tblStylePr w:type="wholeTable">
      <w:rPr>
        <w:rFonts w:ascii="Arial" w:hAnsi="Arial"/>
        <w:color w:val="404040" w:themeColor="accent4" w:themeTint="9A" w:themeShade="95"/>
        <w:sz w:val="22"/>
      </w:rPr>
    </w:tblStylePr>
  </w:style>
  <w:style w:type="table" w:styleId="747">
    <w:name w:val="Grid Table 6 Colorful - Accent 5"/>
    <w:basedOn w:val="848"/>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9e2f2" w:themeFill="accent5" w:themeFillTint="34"/>
      </w:tcPr>
    </w:tblStylePr>
    <w:tblStylePr w:type="band1Vert">
      <w:tcPr>
        <w:shd w:val="clear" w:color="ffffff" w:themeColor="accent5" w:themeTint="34" w:fill="d9e2f2" w:themeFill="accent5" w:themeFillTint="34"/>
      </w:tcPr>
    </w:tblStylePr>
    <w:tblStylePr w:type="band2Horz">
      <w:rPr>
        <w:rFonts w:ascii="Arial" w:hAnsi="Arial"/>
        <w:color w:val="404040" w:themeColor="accent5" w:themeShade="95"/>
        <w:sz w:val="22"/>
      </w:rPr>
    </w:tblStylePr>
    <w:tblStylePr w:type="firstCol">
      <w:rPr>
        <w:b/>
        <w:color w:val="254374" w:themeColor="accent5" w:themeShade="95"/>
      </w:rPr>
    </w:tblStylePr>
    <w:tblStylePr w:type="firstRow">
      <w:rPr>
        <w:b/>
        <w:color w:val="254374" w:themeColor="accent5" w:themeShade="95"/>
      </w:rPr>
      <w:tcPr>
        <w:tcBorders>
          <w:bottom w:val="single" w:color="000000" w:themeColor="accent5" w:sz="12" w:space="0"/>
        </w:tcBorders>
      </w:tcPr>
    </w:tblStylePr>
    <w:tblStylePr w:type="lastCol">
      <w:rPr>
        <w:b/>
        <w:color w:val="254374" w:themeColor="accent5" w:themeShade="95"/>
      </w:rPr>
    </w:tblStylePr>
    <w:tblStylePr w:type="lastRow">
      <w:rPr>
        <w:b/>
        <w:color w:val="254374" w:themeColor="accent5" w:themeShade="95"/>
      </w:rPr>
    </w:tblStylePr>
    <w:tblStylePr w:type="wholeTable">
      <w:rPr>
        <w:rFonts w:ascii="Arial" w:hAnsi="Arial"/>
        <w:color w:val="404040" w:themeColor="accent5" w:themeShade="95"/>
        <w:sz w:val="22"/>
      </w:rPr>
    </w:tblStylePr>
  </w:style>
  <w:style w:type="table" w:styleId="748">
    <w:name w:val="Grid Table 6 Colorful - Accent 6"/>
    <w:basedOn w:val="848"/>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e2efd8" w:themeFill="accent6" w:themeFillTint="34"/>
      </w:tcPr>
    </w:tblStylePr>
    <w:tblStylePr w:type="band1Vert">
      <w:tcPr>
        <w:shd w:val="clear" w:color="ffffff" w:themeColor="accent6" w:themeTint="34" w:fill="e2efd8" w:themeFill="accent6" w:themeFillTint="34"/>
      </w:tcPr>
    </w:tblStylePr>
    <w:tblStylePr w:type="band2Horz">
      <w:rPr>
        <w:rFonts w:ascii="Arial" w:hAnsi="Arial"/>
        <w:color w:val="404040" w:themeColor="accent5" w:themeShade="95"/>
        <w:sz w:val="22"/>
      </w:rPr>
    </w:tblStylePr>
    <w:tblStylePr w:type="firstCol">
      <w:rPr>
        <w:b/>
        <w:color w:val="254374" w:themeColor="accent5" w:themeShade="95"/>
      </w:rPr>
    </w:tblStylePr>
    <w:tblStylePr w:type="firstRow">
      <w:rPr>
        <w:b/>
        <w:color w:val="254374" w:themeColor="accent5" w:themeShade="95"/>
      </w:rPr>
      <w:tcPr>
        <w:tcBorders>
          <w:bottom w:val="single" w:color="000000" w:themeColor="accent6" w:sz="12" w:space="0"/>
        </w:tcBorders>
      </w:tcPr>
    </w:tblStylePr>
    <w:tblStylePr w:type="lastCol">
      <w:rPr>
        <w:b/>
        <w:color w:val="254374" w:themeColor="accent5" w:themeShade="95"/>
      </w:rPr>
    </w:tblStylePr>
    <w:tblStylePr w:type="lastRow">
      <w:rPr>
        <w:b/>
        <w:color w:val="254374" w:themeColor="accent5" w:themeShade="95"/>
      </w:rPr>
    </w:tblStylePr>
    <w:tblStylePr w:type="wholeTable">
      <w:rPr>
        <w:rFonts w:ascii="Arial" w:hAnsi="Arial"/>
        <w:color w:val="404040" w:themeColor="accent5" w:themeShade="95"/>
        <w:sz w:val="22"/>
      </w:rPr>
    </w:tblStylePr>
  </w:style>
  <w:style w:type="table" w:styleId="749">
    <w:name w:val="Grid Table 7 Colorful"/>
    <w:basedOn w:val="848"/>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750">
    <w:name w:val="Grid Table 7 Colorful - Accent 1"/>
    <w:basedOn w:val="848"/>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17bba" w:themeColor="accent1" w:themeTint="80" w:themeShade="95"/>
        <w:sz w:val="22"/>
      </w:rPr>
      <w:tcPr>
        <w:shd w:val="clear" w:color="ffffff" w:themeColor="accent1" w:themeTint="34" w:fill="ddebf6" w:themeFill="accent1" w:themeFillTint="34"/>
      </w:tcPr>
    </w:tblStylePr>
    <w:tblStylePr w:type="band1Vert">
      <w:tcPr>
        <w:shd w:val="clear" w:color="ffffff" w:themeColor="accent1" w:themeTint="34" w:fill="ddebf6" w:themeFill="accent1" w:themeFillTint="34"/>
      </w:tcPr>
    </w:tblStylePr>
    <w:tblStylePr w:type="band2Horz">
      <w:rPr>
        <w:rFonts w:ascii="Arial" w:hAnsi="Arial"/>
        <w:color w:val="317bba" w:themeColor="accent1" w:themeTint="80" w:themeShade="95"/>
        <w:sz w:val="22"/>
      </w:rPr>
    </w:tblStylePr>
    <w:tblStylePr w:type="firstCol">
      <w:rPr>
        <w:rFonts w:ascii="Arial" w:hAnsi="Arial"/>
        <w:i/>
        <w:color w:val="317bba"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17bba"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17bba"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17bba"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751">
    <w:name w:val="Grid Table 7 Colorful - Accent 2"/>
    <w:basedOn w:val="848"/>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c95712" w:themeColor="accent2" w:themeTint="97" w:themeShade="95"/>
        <w:sz w:val="22"/>
      </w:rPr>
      <w:tcPr>
        <w:shd w:val="clear" w:color="ffffff" w:themeColor="accent2" w:themeTint="32" w:fill="fbe5d6" w:themeFill="accent2" w:themeFillTint="32"/>
      </w:tcPr>
    </w:tblStylePr>
    <w:tblStylePr w:type="band1Vert">
      <w:tcPr>
        <w:shd w:val="clear" w:color="ffffff" w:themeColor="accent2" w:themeTint="32" w:fill="fbe5d6" w:themeFill="accent2" w:themeFillTint="32"/>
      </w:tcPr>
    </w:tblStylePr>
    <w:tblStylePr w:type="band2Horz">
      <w:rPr>
        <w:rFonts w:ascii="Arial" w:hAnsi="Arial"/>
        <w:color w:val="c95712" w:themeColor="accent2" w:themeTint="97" w:themeShade="95"/>
        <w:sz w:val="22"/>
      </w:rPr>
    </w:tblStylePr>
    <w:tblStylePr w:type="firstCol">
      <w:rPr>
        <w:rFonts w:ascii="Arial" w:hAnsi="Arial"/>
        <w:i/>
        <w:color w:val="c95712"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c95712"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c95712"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c95712"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752">
    <w:name w:val="Grid Table 7 Colorful - Accent 3"/>
    <w:basedOn w:val="848"/>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606060" w:themeColor="accent3" w:themeTint="FE" w:themeShade="95"/>
        <w:sz w:val="22"/>
      </w:rPr>
      <w:tcPr>
        <w:shd w:val="clear" w:color="ffffff" w:themeColor="accent3" w:themeTint="34" w:fill="ededed" w:themeFill="accent3" w:themeFillTint="34"/>
      </w:tcPr>
    </w:tblStylePr>
    <w:tblStylePr w:type="band1Vert">
      <w:tcPr>
        <w:shd w:val="clear" w:color="ffffff" w:themeColor="accent3" w:themeTint="34" w:fill="ededed" w:themeFill="accent3" w:themeFillTint="34"/>
      </w:tcPr>
    </w:tblStylePr>
    <w:tblStylePr w:type="band2Horz">
      <w:rPr>
        <w:rFonts w:ascii="Arial" w:hAnsi="Arial"/>
        <w:color w:val="606060" w:themeColor="accent3" w:themeTint="FE" w:themeShade="95"/>
        <w:sz w:val="22"/>
      </w:rPr>
    </w:tblStylePr>
    <w:tblStylePr w:type="firstCol">
      <w:rPr>
        <w:rFonts w:ascii="Arial" w:hAnsi="Arial"/>
        <w:i/>
        <w:color w:val="606060"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606060"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606060"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606060"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753">
    <w:name w:val="Grid Table 7 Colorful - Accent 4"/>
    <w:basedOn w:val="848"/>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cd9600" w:themeColor="accent4" w:themeTint="9A" w:themeShade="95"/>
        <w:sz w:val="22"/>
      </w:rPr>
      <w:tcPr>
        <w:shd w:val="clear" w:color="ffffff" w:themeColor="accent4" w:themeTint="34" w:fill="fef2cb" w:themeFill="accent4" w:themeFillTint="34"/>
      </w:tcPr>
    </w:tblStylePr>
    <w:tblStylePr w:type="band1Vert">
      <w:tcPr>
        <w:shd w:val="clear" w:color="ffffff" w:themeColor="accent4" w:themeTint="34" w:fill="fef2cb" w:themeFill="accent4" w:themeFillTint="34"/>
      </w:tcPr>
    </w:tblStylePr>
    <w:tblStylePr w:type="band2Horz">
      <w:rPr>
        <w:rFonts w:ascii="Arial" w:hAnsi="Arial"/>
        <w:color w:val="cd9600" w:themeColor="accent4" w:themeTint="9A" w:themeShade="95"/>
        <w:sz w:val="22"/>
      </w:rPr>
    </w:tblStylePr>
    <w:tblStylePr w:type="firstCol">
      <w:rPr>
        <w:rFonts w:ascii="Arial" w:hAnsi="Arial"/>
        <w:i/>
        <w:color w:val="cd9600"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cd9600"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cd9600"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cd9600"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754">
    <w:name w:val="Grid Table 7 Colorful - Accent 5"/>
    <w:basedOn w:val="848"/>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54374" w:themeColor="accent5" w:themeShade="95"/>
        <w:sz w:val="22"/>
      </w:rPr>
      <w:tcPr>
        <w:shd w:val="clear" w:color="ffffff" w:themeColor="accent5" w:themeTint="34" w:fill="d9e2f2" w:themeFill="accent5" w:themeFillTint="34"/>
      </w:tcPr>
    </w:tblStylePr>
    <w:tblStylePr w:type="band1Vert">
      <w:tcPr>
        <w:shd w:val="clear" w:color="ffffff" w:themeColor="accent5" w:themeTint="34" w:fill="d9e2f2" w:themeFill="accent5" w:themeFillTint="34"/>
      </w:tcPr>
    </w:tblStylePr>
    <w:tblStylePr w:type="band2Horz">
      <w:rPr>
        <w:rFonts w:ascii="Arial" w:hAnsi="Arial"/>
        <w:color w:val="254374" w:themeColor="accent5" w:themeShade="95"/>
        <w:sz w:val="22"/>
      </w:rPr>
    </w:tblStylePr>
    <w:tblStylePr w:type="firstCol">
      <w:rPr>
        <w:rFonts w:ascii="Arial" w:hAnsi="Arial"/>
        <w:i/>
        <w:color w:val="254374"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254374"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254374"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254374"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755">
    <w:name w:val="Grid Table 7 Colorful - Accent 6"/>
    <w:basedOn w:val="848"/>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26429" w:themeColor="accent6" w:themeShade="95"/>
        <w:sz w:val="22"/>
      </w:rPr>
      <w:tcPr>
        <w:shd w:val="clear" w:color="ffffff" w:themeColor="accent6" w:themeTint="34" w:fill="e2efd8" w:themeFill="accent6" w:themeFillTint="34"/>
      </w:tcPr>
    </w:tblStylePr>
    <w:tblStylePr w:type="band1Vert">
      <w:tcPr>
        <w:shd w:val="clear" w:color="ffffff" w:themeColor="accent6" w:themeTint="34" w:fill="e2efd8" w:themeFill="accent6" w:themeFillTint="34"/>
      </w:tcPr>
    </w:tblStylePr>
    <w:tblStylePr w:type="band2Horz">
      <w:rPr>
        <w:rFonts w:ascii="Arial" w:hAnsi="Arial"/>
        <w:color w:val="426429" w:themeColor="accent6" w:themeShade="95"/>
        <w:sz w:val="22"/>
      </w:rPr>
    </w:tblStylePr>
    <w:tblStylePr w:type="firstCol">
      <w:rPr>
        <w:rFonts w:ascii="Arial" w:hAnsi="Arial"/>
        <w:i/>
        <w:color w:val="426429"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426429"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426429"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426429"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756">
    <w:name w:val="List Table 1 Light"/>
    <w:basedOn w:val="848"/>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757">
    <w:name w:val="List Table 1 Light - Accent 1"/>
    <w:basedOn w:val="848"/>
    <w:uiPriority w:val="99"/>
    <w:pPr>
      <w:spacing w:after="0" w:line="240" w:lineRule="auto"/>
    </w:pPr>
    <w:tblPr>
      <w:tblStyleRowBandSize w:val="1"/>
      <w:tblStyleColBandSize w:val="1"/>
      <w:tblInd w:w="0" w:type="dxa"/>
    </w:tblPr>
    <w:tblStylePr w:type="band1Horz">
      <w:tcPr>
        <w:shd w:val="clear" w:color="ffffff" w:themeColor="accent1" w:themeTint="40" w:fill="d5e6f4" w:themeFill="accent1" w:themeFillTint="40"/>
      </w:tcPr>
    </w:tblStylePr>
    <w:tblStylePr w:type="band1Vert">
      <w:tcPr>
        <w:shd w:val="clear" w:color="ffffff" w:themeColor="accent1" w:themeTint="40" w:fill="d5e6f4"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758">
    <w:name w:val="List Table 1 Light - Accent 2"/>
    <w:basedOn w:val="848"/>
    <w:uiPriority w:val="99"/>
    <w:pPr>
      <w:spacing w:after="0" w:line="240" w:lineRule="auto"/>
    </w:pPr>
    <w:tblPr>
      <w:tblStyleRowBandSize w:val="1"/>
      <w:tblStyleColBandSize w:val="1"/>
      <w:tblInd w:w="0" w:type="dxa"/>
    </w:tblPr>
    <w:tblStylePr w:type="band1Horz">
      <w:tcPr>
        <w:shd w:val="clear" w:color="ffffff" w:themeColor="accent2" w:themeTint="40" w:fill="fadecb" w:themeFill="accent2" w:themeFillTint="40"/>
      </w:tcPr>
    </w:tblStylePr>
    <w:tblStylePr w:type="band1Vert">
      <w:tcPr>
        <w:shd w:val="clear" w:color="ffffff" w:themeColor="accent2" w:themeTint="40" w:fill="fadecb"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759">
    <w:name w:val="List Table 1 Light - Accent 3"/>
    <w:basedOn w:val="848"/>
    <w:uiPriority w:val="99"/>
    <w:pPr>
      <w:spacing w:after="0" w:line="240" w:lineRule="auto"/>
    </w:pPr>
    <w:tblPr>
      <w:tblStyleRowBandSize w:val="1"/>
      <w:tblStyleColBandSize w:val="1"/>
      <w:tblInd w:w="0" w:type="dxa"/>
    </w:tblPr>
    <w:tblStylePr w:type="band1Horz">
      <w:tcPr>
        <w:shd w:val="clear" w:color="ffffff" w:themeColor="accent3" w:themeTint="40" w:fill="e8e8e8" w:themeFill="accent3" w:themeFillTint="40"/>
      </w:tcPr>
    </w:tblStylePr>
    <w:tblStylePr w:type="band1Vert">
      <w:tcPr>
        <w:shd w:val="clear" w:color="ffffff" w:themeColor="accent3" w:themeTint="40" w:fill="e8e8e8"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760">
    <w:name w:val="List Table 1 Light - Accent 4"/>
    <w:basedOn w:val="848"/>
    <w:uiPriority w:val="99"/>
    <w:pPr>
      <w:spacing w:after="0" w:line="240" w:lineRule="auto"/>
    </w:pPr>
    <w:tblPr>
      <w:tblStyleRowBandSize w:val="1"/>
      <w:tblStyleColBandSize w:val="1"/>
      <w:tblInd w:w="0" w:type="dxa"/>
    </w:tblPr>
    <w:tblStylePr w:type="band1Horz">
      <w:tcPr>
        <w:shd w:val="clear" w:color="ffffff" w:themeColor="accent4" w:themeTint="40" w:fill="ffefbf" w:themeFill="accent4" w:themeFillTint="40"/>
      </w:tcPr>
    </w:tblStylePr>
    <w:tblStylePr w:type="band1Vert">
      <w:tcPr>
        <w:shd w:val="clear" w:color="ffffff" w:themeColor="accent4" w:themeTint="40" w:fill="ffefbf"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761">
    <w:name w:val="List Table 1 Light - Accent 5"/>
    <w:basedOn w:val="848"/>
    <w:uiPriority w:val="99"/>
    <w:pPr>
      <w:spacing w:after="0" w:line="240" w:lineRule="auto"/>
    </w:pPr>
    <w:tblPr>
      <w:tblStyleRowBandSize w:val="1"/>
      <w:tblStyleColBandSize w:val="1"/>
      <w:tblInd w:w="0" w:type="dxa"/>
    </w:tblPr>
    <w:tblStylePr w:type="band1Horz">
      <w:tcPr>
        <w:shd w:val="clear" w:color="ffffff" w:themeColor="accent5" w:themeTint="40" w:fill="cfdcf0" w:themeFill="accent5" w:themeFillTint="40"/>
      </w:tcPr>
    </w:tblStylePr>
    <w:tblStylePr w:type="band1Vert">
      <w:tcPr>
        <w:shd w:val="clear" w:color="ffffff" w:themeColor="accent5" w:themeTint="40" w:fill="cfdc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762">
    <w:name w:val="List Table 1 Light - Accent 6"/>
    <w:basedOn w:val="848"/>
    <w:uiPriority w:val="99"/>
    <w:pPr>
      <w:spacing w:after="0" w:line="240" w:lineRule="auto"/>
    </w:pPr>
    <w:tblPr>
      <w:tblStyleRowBandSize w:val="1"/>
      <w:tblStyleColBandSize w:val="1"/>
      <w:tblInd w:w="0" w:type="dxa"/>
    </w:tblPr>
    <w:tblStylePr w:type="band1Horz">
      <w:tcPr>
        <w:shd w:val="clear" w:color="ffffff" w:themeColor="accent6" w:themeTint="40" w:fill="dbebd0" w:themeFill="accent6" w:themeFillTint="40"/>
      </w:tcPr>
    </w:tblStylePr>
    <w:tblStylePr w:type="band1Vert">
      <w:tcPr>
        <w:shd w:val="clear" w:color="ffffff" w:themeColor="accent6" w:themeTint="40" w:fill="dbeb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763">
    <w:name w:val="List Table 2"/>
    <w:basedOn w:val="848"/>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764">
    <w:name w:val="List Table 2 - Accent 1"/>
    <w:basedOn w:val="848"/>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5e6f4" w:themeFill="accent1" w:themeFillTint="40"/>
      </w:tcPr>
    </w:tblStylePr>
    <w:tblStylePr w:type="band1Vert">
      <w:rPr>
        <w:rFonts w:ascii="Arial" w:hAnsi="Arial"/>
        <w:color w:val="404040"/>
        <w:sz w:val="22"/>
      </w:rPr>
      <w:tcPr>
        <w:shd w:val="clear" w:color="ffffff" w:themeColor="accent1" w:themeTint="40" w:fill="d5e6f4"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765">
    <w:name w:val="List Table 2 - Accent 2"/>
    <w:basedOn w:val="848"/>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fadecb" w:themeFill="accent2" w:themeFillTint="40"/>
      </w:tcPr>
    </w:tblStylePr>
    <w:tblStylePr w:type="band1Vert">
      <w:rPr>
        <w:rFonts w:ascii="Arial" w:hAnsi="Arial"/>
        <w:color w:val="404040"/>
        <w:sz w:val="22"/>
      </w:rPr>
      <w:tcPr>
        <w:shd w:val="clear" w:color="ffffff" w:themeColor="accent2" w:themeTint="40" w:fill="fadecb"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766">
    <w:name w:val="List Table 2 - Accent 3"/>
    <w:basedOn w:val="848"/>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8e8e8" w:themeFill="accent3" w:themeFillTint="40"/>
      </w:tcPr>
    </w:tblStylePr>
    <w:tblStylePr w:type="band1Vert">
      <w:rPr>
        <w:rFonts w:ascii="Arial" w:hAnsi="Arial"/>
        <w:color w:val="404040"/>
        <w:sz w:val="22"/>
      </w:rPr>
      <w:tcPr>
        <w:shd w:val="clear" w:color="ffffff" w:themeColor="accent3" w:themeTint="40" w:fill="e8e8e8"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767">
    <w:name w:val="List Table 2 - Accent 4"/>
    <w:basedOn w:val="848"/>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ffefbf" w:themeFill="accent4" w:themeFillTint="40"/>
      </w:tcPr>
    </w:tblStylePr>
    <w:tblStylePr w:type="band1Vert">
      <w:rPr>
        <w:rFonts w:ascii="Arial" w:hAnsi="Arial"/>
        <w:color w:val="404040"/>
        <w:sz w:val="22"/>
      </w:rPr>
      <w:tcPr>
        <w:shd w:val="clear" w:color="ffffff" w:themeColor="accent4" w:themeTint="40" w:fill="ffefbf"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768">
    <w:name w:val="List Table 2 - Accent 5"/>
    <w:basedOn w:val="848"/>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cfdcf0" w:themeFill="accent5" w:themeFillTint="40"/>
      </w:tcPr>
    </w:tblStylePr>
    <w:tblStylePr w:type="band1Vert">
      <w:rPr>
        <w:rFonts w:ascii="Arial" w:hAnsi="Arial"/>
        <w:color w:val="404040"/>
        <w:sz w:val="22"/>
      </w:rPr>
      <w:tcPr>
        <w:shd w:val="clear" w:color="ffffff" w:themeColor="accent5" w:themeTint="40" w:fill="cfdc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769">
    <w:name w:val="List Table 2 - Accent 6"/>
    <w:basedOn w:val="848"/>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dbebd0" w:themeFill="accent6" w:themeFillTint="40"/>
      </w:tcPr>
    </w:tblStylePr>
    <w:tblStylePr w:type="band1Vert">
      <w:rPr>
        <w:rFonts w:ascii="Arial" w:hAnsi="Arial"/>
        <w:color w:val="404040"/>
        <w:sz w:val="22"/>
      </w:rPr>
      <w:tcPr>
        <w:shd w:val="clear" w:color="ffffff" w:themeColor="accent6" w:themeTint="40" w:fill="dbeb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770">
    <w:name w:val="List Table 3"/>
    <w:basedOn w:val="848"/>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771">
    <w:name w:val="List Table 3 - Accent 1"/>
    <w:basedOn w:val="848"/>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5b9bd5" w:themeFill="accent1"/>
      </w:tcPr>
    </w:tblStylePr>
    <w:tblStylePr w:type="lastCol">
      <w:rPr>
        <w:b/>
        <w:color w:val="404040"/>
      </w:rPr>
    </w:tblStylePr>
    <w:tblStylePr w:type="lastRow">
      <w:rPr>
        <w:b/>
        <w:color w:val="404040"/>
      </w:rPr>
    </w:tblStylePr>
  </w:style>
  <w:style w:type="table" w:styleId="772">
    <w:name w:val="List Table 3 - Accent 2"/>
    <w:basedOn w:val="848"/>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f4b185" w:themeFill="accent2" w:themeFillTint="97"/>
      </w:tcPr>
    </w:tblStylePr>
    <w:tblStylePr w:type="lastCol">
      <w:rPr>
        <w:b/>
        <w:color w:val="404040"/>
      </w:rPr>
    </w:tblStylePr>
    <w:tblStylePr w:type="lastRow">
      <w:rPr>
        <w:b/>
        <w:color w:val="404040"/>
      </w:rPr>
    </w:tblStylePr>
  </w:style>
  <w:style w:type="table" w:styleId="773">
    <w:name w:val="List Table 3 - Accent 3"/>
    <w:basedOn w:val="848"/>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9c9c9" w:themeFill="accent3" w:themeFillTint="98"/>
      </w:tcPr>
    </w:tblStylePr>
    <w:tblStylePr w:type="lastCol">
      <w:rPr>
        <w:b/>
        <w:color w:val="404040"/>
      </w:rPr>
    </w:tblStylePr>
    <w:tblStylePr w:type="lastRow">
      <w:rPr>
        <w:b/>
        <w:color w:val="404040"/>
      </w:rPr>
    </w:tblStylePr>
  </w:style>
  <w:style w:type="table" w:styleId="774">
    <w:name w:val="List Table 3 - Accent 4"/>
    <w:basedOn w:val="848"/>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ffd864" w:themeFill="accent4" w:themeFillTint="9A"/>
      </w:tcPr>
    </w:tblStylePr>
    <w:tblStylePr w:type="lastCol">
      <w:rPr>
        <w:b/>
        <w:color w:val="404040"/>
      </w:rPr>
    </w:tblStylePr>
    <w:tblStylePr w:type="lastRow">
      <w:rPr>
        <w:b/>
        <w:color w:val="404040"/>
      </w:rPr>
    </w:tblStylePr>
  </w:style>
  <w:style w:type="table" w:styleId="775">
    <w:name w:val="List Table 3 - Accent 5"/>
    <w:basedOn w:val="848"/>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8eabdb" w:themeFill="accent5" w:themeFillTint="9A"/>
      </w:tcPr>
    </w:tblStylePr>
    <w:tblStylePr w:type="lastCol">
      <w:rPr>
        <w:b/>
        <w:color w:val="404040"/>
      </w:rPr>
    </w:tblStylePr>
    <w:tblStylePr w:type="lastRow">
      <w:rPr>
        <w:b/>
        <w:color w:val="404040"/>
      </w:rPr>
    </w:tblStylePr>
  </w:style>
  <w:style w:type="table" w:styleId="776">
    <w:name w:val="List Table 3 - Accent 6"/>
    <w:basedOn w:val="848"/>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aad08f" w:themeFill="accent6" w:themeFillTint="98"/>
      </w:tcPr>
    </w:tblStylePr>
    <w:tblStylePr w:type="lastCol">
      <w:rPr>
        <w:b/>
        <w:color w:val="404040"/>
      </w:rPr>
    </w:tblStylePr>
    <w:tblStylePr w:type="lastRow">
      <w:rPr>
        <w:b/>
        <w:color w:val="404040"/>
      </w:rPr>
    </w:tblStylePr>
  </w:style>
  <w:style w:type="table" w:styleId="777">
    <w:name w:val="List Table 4"/>
    <w:basedOn w:val="848"/>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778">
    <w:name w:val="List Table 4 - Accent 1"/>
    <w:basedOn w:val="848"/>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5e6f4" w:themeFill="accent1" w:themeFillTint="40"/>
      </w:tcPr>
    </w:tblStylePr>
    <w:tblStylePr w:type="band1Vert">
      <w:rPr>
        <w:rFonts w:ascii="Arial" w:hAnsi="Arial"/>
        <w:color w:val="404040"/>
        <w:sz w:val="22"/>
      </w:rPr>
      <w:tcPr>
        <w:shd w:val="clear" w:color="ffffff" w:themeColor="accent1" w:themeTint="40" w:fill="d5e6f4"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5b9bd5" w:themeFill="accent1"/>
      </w:tcPr>
    </w:tblStylePr>
    <w:tblStylePr w:type="lastCol">
      <w:rPr>
        <w:b/>
        <w:color w:val="404040"/>
      </w:rPr>
    </w:tblStylePr>
    <w:tblStylePr w:type="lastRow">
      <w:rPr>
        <w:b/>
        <w:color w:val="404040"/>
      </w:rPr>
    </w:tblStylePr>
  </w:style>
  <w:style w:type="table" w:styleId="779">
    <w:name w:val="List Table 4 - Accent 2"/>
    <w:basedOn w:val="848"/>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fadecb" w:themeFill="accent2" w:themeFillTint="40"/>
      </w:tcPr>
    </w:tblStylePr>
    <w:tblStylePr w:type="band1Vert">
      <w:rPr>
        <w:rFonts w:ascii="Arial" w:hAnsi="Arial"/>
        <w:color w:val="404040"/>
        <w:sz w:val="22"/>
      </w:rPr>
      <w:tcPr>
        <w:shd w:val="clear" w:color="ffffff" w:themeColor="accent2" w:themeTint="40" w:fill="fadecb"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ed7d31" w:themeFill="accent2"/>
      </w:tcPr>
    </w:tblStylePr>
    <w:tblStylePr w:type="lastCol">
      <w:rPr>
        <w:b/>
        <w:color w:val="404040"/>
      </w:rPr>
    </w:tblStylePr>
    <w:tblStylePr w:type="lastRow">
      <w:rPr>
        <w:b/>
        <w:color w:val="404040"/>
      </w:rPr>
    </w:tblStylePr>
  </w:style>
  <w:style w:type="table" w:styleId="780">
    <w:name w:val="List Table 4 - Accent 3"/>
    <w:basedOn w:val="848"/>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8e8e8" w:themeFill="accent3" w:themeFillTint="40"/>
      </w:tcPr>
    </w:tblStylePr>
    <w:tblStylePr w:type="band1Vert">
      <w:rPr>
        <w:rFonts w:ascii="Arial" w:hAnsi="Arial"/>
        <w:color w:val="404040"/>
        <w:sz w:val="22"/>
      </w:rPr>
      <w:tcPr>
        <w:shd w:val="clear" w:color="ffffff" w:themeColor="accent3" w:themeTint="40" w:fill="e8e8e8"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a5a5a5" w:themeFill="accent3"/>
      </w:tcPr>
    </w:tblStylePr>
    <w:tblStylePr w:type="lastCol">
      <w:rPr>
        <w:b/>
        <w:color w:val="404040"/>
      </w:rPr>
    </w:tblStylePr>
    <w:tblStylePr w:type="lastRow">
      <w:rPr>
        <w:b/>
        <w:color w:val="404040"/>
      </w:rPr>
    </w:tblStylePr>
  </w:style>
  <w:style w:type="table" w:styleId="781">
    <w:name w:val="List Table 4 - Accent 4"/>
    <w:basedOn w:val="848"/>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ffefbf" w:themeFill="accent4" w:themeFillTint="40"/>
      </w:tcPr>
    </w:tblStylePr>
    <w:tblStylePr w:type="band1Vert">
      <w:rPr>
        <w:rFonts w:ascii="Arial" w:hAnsi="Arial"/>
        <w:color w:val="404040"/>
        <w:sz w:val="22"/>
      </w:rPr>
      <w:tcPr>
        <w:shd w:val="clear" w:color="ffffff" w:themeColor="accent4" w:themeTint="40" w:fill="ffefbf"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ffc000" w:themeFill="accent4"/>
      </w:tcPr>
    </w:tblStylePr>
    <w:tblStylePr w:type="lastCol">
      <w:rPr>
        <w:b/>
        <w:color w:val="404040"/>
      </w:rPr>
    </w:tblStylePr>
    <w:tblStylePr w:type="lastRow">
      <w:rPr>
        <w:b/>
        <w:color w:val="404040"/>
      </w:rPr>
    </w:tblStylePr>
  </w:style>
  <w:style w:type="table" w:styleId="782">
    <w:name w:val="List Table 4 - Accent 5"/>
    <w:basedOn w:val="848"/>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cfdcf0" w:themeFill="accent5" w:themeFillTint="40"/>
      </w:tcPr>
    </w:tblStylePr>
    <w:tblStylePr w:type="band1Vert">
      <w:rPr>
        <w:rFonts w:ascii="Arial" w:hAnsi="Arial"/>
        <w:color w:val="404040"/>
        <w:sz w:val="22"/>
      </w:rPr>
      <w:tcPr>
        <w:shd w:val="clear" w:color="ffffff" w:themeColor="accent5" w:themeTint="40" w:fill="cfdc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472c4" w:themeFill="accent5"/>
      </w:tcPr>
    </w:tblStylePr>
    <w:tblStylePr w:type="lastCol">
      <w:rPr>
        <w:b/>
        <w:color w:val="404040"/>
      </w:rPr>
    </w:tblStylePr>
    <w:tblStylePr w:type="lastRow">
      <w:rPr>
        <w:b/>
        <w:color w:val="404040"/>
      </w:rPr>
    </w:tblStylePr>
  </w:style>
  <w:style w:type="table" w:styleId="783">
    <w:name w:val="List Table 4 - Accent 6"/>
    <w:basedOn w:val="848"/>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dbebd0" w:themeFill="accent6" w:themeFillTint="40"/>
      </w:tcPr>
    </w:tblStylePr>
    <w:tblStylePr w:type="band1Vert">
      <w:rPr>
        <w:rFonts w:ascii="Arial" w:hAnsi="Arial"/>
        <w:color w:val="404040"/>
        <w:sz w:val="22"/>
      </w:rPr>
      <w:tcPr>
        <w:shd w:val="clear" w:color="ffffff" w:themeColor="accent6" w:themeTint="40" w:fill="dbebd0"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70ad47" w:themeFill="accent6"/>
      </w:tcPr>
    </w:tblStylePr>
    <w:tblStylePr w:type="lastCol">
      <w:rPr>
        <w:b/>
        <w:color w:val="404040"/>
      </w:rPr>
    </w:tblStylePr>
    <w:tblStylePr w:type="lastRow">
      <w:rPr>
        <w:b/>
        <w:color w:val="404040"/>
      </w:rPr>
    </w:tblStylePr>
  </w:style>
  <w:style w:type="table" w:styleId="784">
    <w:name w:val="List Table 5 Dark"/>
    <w:basedOn w:val="848"/>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85">
    <w:name w:val="List Table 5 Dark - Accent 1"/>
    <w:basedOn w:val="848"/>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5b9bd5" w:themeFill="accent1"/>
    </w:tblPr>
    <w:tblStylePr w:type="band1Horz">
      <w:tcPr>
        <w:shd w:val="clear" w:color="ffffff" w:themeColor="accent1" w:fill="5b9bd5" w:themeFill="accent1"/>
        <w:tcBorders>
          <w:top w:val="single" w:color="000000" w:themeColor="light1" w:sz="4" w:space="0"/>
          <w:bottom w:val="single" w:color="000000" w:themeColor="light1" w:sz="4" w:space="0"/>
        </w:tcBorders>
      </w:tcPr>
    </w:tblStylePr>
    <w:tblStylePr w:type="band1Vert">
      <w:tcPr>
        <w:shd w:val="clear" w:color="ffffff" w:themeColor="accent1" w:fill="5b9bd5" w:themeFill="accent1"/>
        <w:tcBorders>
          <w:left w:val="single" w:color="000000" w:themeColor="light1" w:sz="4" w:space="0"/>
          <w:right w:val="single" w:color="000000" w:themeColor="light1" w:sz="4" w:space="0"/>
        </w:tcBorders>
      </w:tcPr>
    </w:tblStylePr>
    <w:tblStylePr w:type="band2Horz">
      <w:tcPr>
        <w:shd w:val="clear" w:color="ffffff" w:themeColor="accent1" w:fill="5b9bd5"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5b9bd5"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86">
    <w:name w:val="List Table 5 Dark - Accent 2"/>
    <w:basedOn w:val="848"/>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f4b185" w:themeFill="accent2" w:themeFillTint="97"/>
    </w:tblPr>
    <w:tblStylePr w:type="band1Horz">
      <w:tcPr>
        <w:shd w:val="clear" w:color="ffffff" w:themeColor="accent2" w:themeTint="97" w:fill="f4b185"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f4b185"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f4b185"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f4b185"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87">
    <w:name w:val="List Table 5 Dark - Accent 3"/>
    <w:basedOn w:val="848"/>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9c9c9" w:themeFill="accent3" w:themeFillTint="98"/>
    </w:tblPr>
    <w:tblStylePr w:type="band1Horz">
      <w:tcPr>
        <w:shd w:val="clear" w:color="ffffff" w:themeColor="accent3" w:themeTint="98" w:fill="c9c9c9"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9c9c9"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9c9c9"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9c9c9"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88">
    <w:name w:val="List Table 5 Dark - Accent 4"/>
    <w:basedOn w:val="848"/>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ffd864" w:themeFill="accent4" w:themeFillTint="9A"/>
    </w:tblPr>
    <w:tblStylePr w:type="band1Horz">
      <w:tcPr>
        <w:shd w:val="clear" w:color="ffffff" w:themeColor="accent4" w:themeTint="9A" w:fill="ffd864"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ffd864"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ffd864"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ffd864"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89">
    <w:name w:val="List Table 5 Dark - Accent 5"/>
    <w:basedOn w:val="848"/>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8eabdb" w:themeFill="accent5" w:themeFillTint="9A"/>
    </w:tblPr>
    <w:tblStylePr w:type="band1Horz">
      <w:tcPr>
        <w:shd w:val="clear" w:color="ffffff" w:themeColor="accent5" w:themeTint="9A" w:fill="8eabdb"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8eabdb"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8eabdb"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8eabdb"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90">
    <w:name w:val="List Table 5 Dark - Accent 6"/>
    <w:basedOn w:val="848"/>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aad08f" w:themeFill="accent6" w:themeFillTint="98"/>
    </w:tblPr>
    <w:tblStylePr w:type="band1Horz">
      <w:tcPr>
        <w:shd w:val="clear" w:color="ffffff" w:themeColor="accent6" w:themeTint="98" w:fill="aad08f"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aad08f"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aad08f"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aad08f"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91">
    <w:name w:val="List Table 6 Colorful"/>
    <w:basedOn w:val="848"/>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792">
    <w:name w:val="List Table 6 Colorful - Accent 1"/>
    <w:basedOn w:val="848"/>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5e6f4" w:themeFill="accent1" w:themeFillTint="40"/>
      </w:tcPr>
    </w:tblStylePr>
    <w:tblStylePr w:type="band1Vert">
      <w:tcPr>
        <w:shd w:val="clear" w:color="ffffff" w:themeColor="accent1" w:themeTint="40" w:fill="d5e6f4" w:themeFill="accent1" w:themeFillTint="40"/>
      </w:tcPr>
    </w:tblStylePr>
    <w:tblStylePr w:type="band2Horz">
      <w:rPr>
        <w:rFonts w:ascii="Arial" w:hAnsi="Arial"/>
        <w:color w:val="404040" w:themeColor="accent1" w:themeShade="95"/>
        <w:sz w:val="22"/>
      </w:rPr>
    </w:tblStylePr>
    <w:tblStylePr w:type="firstCol">
      <w:rPr>
        <w:b/>
        <w:color w:val="245d8d" w:themeColor="accent1" w:themeShade="95"/>
      </w:rPr>
    </w:tblStylePr>
    <w:tblStylePr w:type="firstRow">
      <w:rPr>
        <w:b/>
        <w:color w:val="245d8d" w:themeColor="accent1" w:themeShade="95"/>
      </w:rPr>
      <w:tcPr>
        <w:tcBorders>
          <w:bottom w:val="single" w:color="000000" w:themeColor="accent1" w:sz="4" w:space="0"/>
        </w:tcBorders>
      </w:tcPr>
    </w:tblStylePr>
    <w:tblStylePr w:type="lastCol">
      <w:rPr>
        <w:b/>
        <w:color w:val="245d8d" w:themeColor="accent1" w:themeShade="95"/>
      </w:rPr>
    </w:tblStylePr>
    <w:tblStylePr w:type="lastRow">
      <w:rPr>
        <w:b/>
        <w:color w:val="245d8d" w:themeColor="accent1" w:themeShade="95"/>
      </w:rPr>
      <w:tcPr>
        <w:tcBorders>
          <w:top w:val="single" w:color="000000" w:themeColor="accent1" w:sz="4" w:space="0"/>
        </w:tcBorders>
      </w:tcPr>
    </w:tblStylePr>
  </w:style>
  <w:style w:type="table" w:styleId="793">
    <w:name w:val="List Table 6 Colorful - Accent 2"/>
    <w:basedOn w:val="848"/>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fadecb" w:themeFill="accent2" w:themeFillTint="40"/>
      </w:tcPr>
    </w:tblStylePr>
    <w:tblStylePr w:type="band1Vert">
      <w:tcPr>
        <w:shd w:val="clear" w:color="ffffff" w:themeColor="accent2" w:themeTint="40" w:fill="fadecb" w:themeFill="accent2" w:themeFillTint="40"/>
      </w:tcPr>
    </w:tblStylePr>
    <w:tblStylePr w:type="band2Horz">
      <w:rPr>
        <w:rFonts w:ascii="Arial" w:hAnsi="Arial"/>
        <w:color w:val="404040" w:themeColor="accent2" w:themeTint="97" w:themeShade="95"/>
        <w:sz w:val="22"/>
      </w:rPr>
    </w:tblStylePr>
    <w:tblStylePr w:type="firstCol">
      <w:rPr>
        <w:b/>
        <w:color w:val="c95712" w:themeColor="accent2" w:themeTint="97" w:themeShade="95"/>
      </w:rPr>
    </w:tblStylePr>
    <w:tblStylePr w:type="firstRow">
      <w:rPr>
        <w:b/>
        <w:color w:val="c95712" w:themeColor="accent2" w:themeTint="97" w:themeShade="95"/>
      </w:rPr>
      <w:tcPr>
        <w:tcBorders>
          <w:bottom w:val="single" w:color="000000" w:themeColor="accent2" w:themeTint="97" w:sz="4" w:space="0"/>
        </w:tcBorders>
      </w:tcPr>
    </w:tblStylePr>
    <w:tblStylePr w:type="lastCol">
      <w:rPr>
        <w:b/>
        <w:color w:val="c95712" w:themeColor="accent2" w:themeTint="97" w:themeShade="95"/>
      </w:rPr>
    </w:tblStylePr>
    <w:tblStylePr w:type="lastRow">
      <w:rPr>
        <w:b/>
        <w:color w:val="c95712" w:themeColor="accent2" w:themeTint="97" w:themeShade="95"/>
      </w:rPr>
      <w:tcPr>
        <w:tcBorders>
          <w:top w:val="single" w:color="000000" w:themeColor="accent2" w:themeTint="97" w:sz="4" w:space="0"/>
        </w:tcBorders>
      </w:tcPr>
    </w:tblStylePr>
  </w:style>
  <w:style w:type="table" w:styleId="794">
    <w:name w:val="List Table 6 Colorful - Accent 3"/>
    <w:basedOn w:val="848"/>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8e8e8" w:themeFill="accent3" w:themeFillTint="40"/>
      </w:tcPr>
    </w:tblStylePr>
    <w:tblStylePr w:type="band1Vert">
      <w:tcPr>
        <w:shd w:val="clear" w:color="ffffff" w:themeColor="accent3" w:themeTint="40" w:fill="e8e8e8" w:themeFill="accent3" w:themeFillTint="40"/>
      </w:tcPr>
    </w:tblStylePr>
    <w:tblStylePr w:type="band2Horz">
      <w:rPr>
        <w:rFonts w:ascii="Arial" w:hAnsi="Arial"/>
        <w:color w:val="404040" w:themeColor="accent3" w:themeTint="98" w:themeShade="95"/>
        <w:sz w:val="22"/>
      </w:rPr>
    </w:tblStylePr>
    <w:tblStylePr w:type="firstCol">
      <w:rPr>
        <w:b/>
        <w:color w:val="757575" w:themeColor="accent3" w:themeTint="98" w:themeShade="95"/>
      </w:rPr>
    </w:tblStylePr>
    <w:tblStylePr w:type="firstRow">
      <w:rPr>
        <w:b/>
        <w:color w:val="757575" w:themeColor="accent3" w:themeTint="98" w:themeShade="95"/>
      </w:rPr>
      <w:tcPr>
        <w:tcBorders>
          <w:bottom w:val="single" w:color="000000" w:themeColor="accent3" w:themeTint="98" w:sz="4" w:space="0"/>
        </w:tcBorders>
      </w:tcPr>
    </w:tblStylePr>
    <w:tblStylePr w:type="lastCol">
      <w:rPr>
        <w:b/>
        <w:color w:val="757575" w:themeColor="accent3" w:themeTint="98" w:themeShade="95"/>
      </w:rPr>
    </w:tblStylePr>
    <w:tblStylePr w:type="lastRow">
      <w:rPr>
        <w:b/>
        <w:color w:val="757575" w:themeColor="accent3" w:themeTint="98" w:themeShade="95"/>
      </w:rPr>
      <w:tcPr>
        <w:tcBorders>
          <w:top w:val="single" w:color="000000" w:themeColor="accent3" w:themeTint="98" w:sz="4" w:space="0"/>
        </w:tcBorders>
      </w:tcPr>
    </w:tblStylePr>
  </w:style>
  <w:style w:type="table" w:styleId="795">
    <w:name w:val="List Table 6 Colorful - Accent 4"/>
    <w:basedOn w:val="848"/>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ffefbf" w:themeFill="accent4" w:themeFillTint="40"/>
      </w:tcPr>
    </w:tblStylePr>
    <w:tblStylePr w:type="band1Vert">
      <w:tcPr>
        <w:shd w:val="clear" w:color="ffffff" w:themeColor="accent4" w:themeTint="40" w:fill="ffefbf" w:themeFill="accent4" w:themeFillTint="40"/>
      </w:tcPr>
    </w:tblStylePr>
    <w:tblStylePr w:type="band2Horz">
      <w:rPr>
        <w:rFonts w:ascii="Arial" w:hAnsi="Arial"/>
        <w:color w:val="404040" w:themeColor="accent4" w:themeTint="9A" w:themeShade="95"/>
        <w:sz w:val="22"/>
      </w:rPr>
    </w:tblStylePr>
    <w:tblStylePr w:type="firstCol">
      <w:rPr>
        <w:b/>
        <w:color w:val="cd9600" w:themeColor="accent4" w:themeTint="9A" w:themeShade="95"/>
      </w:rPr>
    </w:tblStylePr>
    <w:tblStylePr w:type="firstRow">
      <w:rPr>
        <w:b/>
        <w:color w:val="cd9600" w:themeColor="accent4" w:themeTint="9A" w:themeShade="95"/>
      </w:rPr>
      <w:tcPr>
        <w:tcBorders>
          <w:bottom w:val="single" w:color="000000" w:themeColor="accent4" w:themeTint="9A" w:sz="4" w:space="0"/>
        </w:tcBorders>
      </w:tcPr>
    </w:tblStylePr>
    <w:tblStylePr w:type="lastCol">
      <w:rPr>
        <w:b/>
        <w:color w:val="cd9600" w:themeColor="accent4" w:themeTint="9A" w:themeShade="95"/>
      </w:rPr>
    </w:tblStylePr>
    <w:tblStylePr w:type="lastRow">
      <w:rPr>
        <w:b/>
        <w:color w:val="cd9600" w:themeColor="accent4" w:themeTint="9A" w:themeShade="95"/>
      </w:rPr>
      <w:tcPr>
        <w:tcBorders>
          <w:top w:val="single" w:color="000000" w:themeColor="accent4" w:themeTint="9A" w:sz="4" w:space="0"/>
        </w:tcBorders>
      </w:tcPr>
    </w:tblStylePr>
  </w:style>
  <w:style w:type="table" w:styleId="796">
    <w:name w:val="List Table 6 Colorful - Accent 5"/>
    <w:basedOn w:val="848"/>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cfdcf0" w:themeFill="accent5" w:themeFillTint="40"/>
      </w:tcPr>
    </w:tblStylePr>
    <w:tblStylePr w:type="band1Vert">
      <w:tcPr>
        <w:shd w:val="clear" w:color="ffffff" w:themeColor="accent5" w:themeTint="40" w:fill="cfdcf0" w:themeFill="accent5" w:themeFillTint="40"/>
      </w:tcPr>
    </w:tblStylePr>
    <w:tblStylePr w:type="band2Horz">
      <w:rPr>
        <w:rFonts w:ascii="Arial" w:hAnsi="Arial"/>
        <w:color w:val="404040" w:themeColor="accent5" w:themeTint="9A" w:themeShade="95"/>
        <w:sz w:val="22"/>
      </w:rPr>
    </w:tblStylePr>
    <w:tblStylePr w:type="firstCol">
      <w:rPr>
        <w:b/>
        <w:color w:val="335e9e" w:themeColor="accent5" w:themeTint="9A" w:themeShade="95"/>
      </w:rPr>
    </w:tblStylePr>
    <w:tblStylePr w:type="firstRow">
      <w:rPr>
        <w:b/>
        <w:color w:val="335e9e" w:themeColor="accent5" w:themeTint="9A" w:themeShade="95"/>
      </w:rPr>
      <w:tcPr>
        <w:tcBorders>
          <w:bottom w:val="single" w:color="000000" w:themeColor="accent5" w:themeTint="9A" w:sz="4" w:space="0"/>
        </w:tcBorders>
      </w:tcPr>
    </w:tblStylePr>
    <w:tblStylePr w:type="lastCol">
      <w:rPr>
        <w:b/>
        <w:color w:val="335e9e" w:themeColor="accent5" w:themeTint="9A" w:themeShade="95"/>
      </w:rPr>
    </w:tblStylePr>
    <w:tblStylePr w:type="lastRow">
      <w:rPr>
        <w:b/>
        <w:color w:val="335e9e" w:themeColor="accent5" w:themeTint="9A" w:themeShade="95"/>
      </w:rPr>
      <w:tcPr>
        <w:tcBorders>
          <w:top w:val="single" w:color="000000" w:themeColor="accent5" w:themeTint="9A" w:sz="4" w:space="0"/>
        </w:tcBorders>
      </w:tcPr>
    </w:tblStylePr>
  </w:style>
  <w:style w:type="table" w:styleId="797">
    <w:name w:val="List Table 6 Colorful - Accent 6"/>
    <w:basedOn w:val="848"/>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dbebd0" w:themeFill="accent6" w:themeFillTint="40"/>
      </w:tcPr>
    </w:tblStylePr>
    <w:tblStylePr w:type="band1Vert">
      <w:tcPr>
        <w:shd w:val="clear" w:color="ffffff" w:themeColor="accent6" w:themeTint="40" w:fill="dbebd0" w:themeFill="accent6" w:themeFillTint="40"/>
      </w:tcPr>
    </w:tblStylePr>
    <w:tblStylePr w:type="band2Horz">
      <w:rPr>
        <w:rFonts w:ascii="Arial" w:hAnsi="Arial"/>
        <w:color w:val="404040" w:themeColor="accent6" w:themeTint="98" w:themeShade="95"/>
        <w:sz w:val="22"/>
      </w:rPr>
    </w:tblStylePr>
    <w:tblStylePr w:type="firstCol">
      <w:rPr>
        <w:b/>
        <w:color w:val="5f8f3c" w:themeColor="accent6" w:themeTint="98" w:themeShade="95"/>
      </w:rPr>
    </w:tblStylePr>
    <w:tblStylePr w:type="firstRow">
      <w:rPr>
        <w:b/>
        <w:color w:val="5f8f3c" w:themeColor="accent6" w:themeTint="98" w:themeShade="95"/>
      </w:rPr>
      <w:tcPr>
        <w:tcBorders>
          <w:bottom w:val="single" w:color="000000" w:themeColor="accent6" w:themeTint="98" w:sz="4" w:space="0"/>
        </w:tcBorders>
      </w:tcPr>
    </w:tblStylePr>
    <w:tblStylePr w:type="lastCol">
      <w:rPr>
        <w:b/>
        <w:color w:val="5f8f3c" w:themeColor="accent6" w:themeTint="98" w:themeShade="95"/>
      </w:rPr>
    </w:tblStylePr>
    <w:tblStylePr w:type="lastRow">
      <w:rPr>
        <w:b/>
        <w:color w:val="5f8f3c" w:themeColor="accent6" w:themeTint="98" w:themeShade="95"/>
      </w:rPr>
      <w:tcPr>
        <w:tcBorders>
          <w:top w:val="single" w:color="000000" w:themeColor="accent6" w:themeTint="98" w:sz="4" w:space="0"/>
        </w:tcBorders>
      </w:tcPr>
    </w:tblStylePr>
  </w:style>
  <w:style w:type="table" w:styleId="798">
    <w:name w:val="List Table 7 Colorful"/>
    <w:basedOn w:val="848"/>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799">
    <w:name w:val="List Table 7 Colorful - Accent 1"/>
    <w:basedOn w:val="848"/>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45d8d" w:themeColor="accent1" w:themeShade="95"/>
        <w:sz w:val="22"/>
      </w:rPr>
      <w:tcPr>
        <w:shd w:val="clear" w:color="ffffff" w:themeColor="accent1" w:themeTint="40" w:fill="d5e6f4" w:themeFill="accent1" w:themeFillTint="40"/>
      </w:tcPr>
    </w:tblStylePr>
    <w:tblStylePr w:type="band1Vert">
      <w:tcPr>
        <w:shd w:val="clear" w:color="ffffff" w:themeColor="accent1" w:themeTint="40" w:fill="d5e6f4" w:themeFill="accent1" w:themeFillTint="40"/>
      </w:tcPr>
    </w:tblStylePr>
    <w:tblStylePr w:type="band2Horz">
      <w:rPr>
        <w:rFonts w:ascii="Arial" w:hAnsi="Arial"/>
        <w:color w:val="245d8d" w:themeColor="accent1" w:themeShade="95"/>
        <w:sz w:val="22"/>
      </w:rPr>
    </w:tblStylePr>
    <w:tblStylePr w:type="firstCol">
      <w:rPr>
        <w:rFonts w:ascii="Arial" w:hAnsi="Arial"/>
        <w:i/>
        <w:color w:val="245d8d"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45d8d"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45d8d"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45d8d"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45d8d" w:themeColor="accent1" w:themeShade="95"/>
        <w:sz w:val="22"/>
      </w:rPr>
    </w:tblStylePr>
  </w:style>
  <w:style w:type="table" w:styleId="800">
    <w:name w:val="List Table 7 Colorful - Accent 2"/>
    <w:basedOn w:val="848"/>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c95712" w:themeColor="accent2" w:themeTint="97" w:themeShade="95"/>
        <w:sz w:val="22"/>
      </w:rPr>
      <w:tcPr>
        <w:shd w:val="clear" w:color="ffffff" w:themeColor="accent2" w:themeTint="40" w:fill="fadecb" w:themeFill="accent2" w:themeFillTint="40"/>
      </w:tcPr>
    </w:tblStylePr>
    <w:tblStylePr w:type="band1Vert">
      <w:tcPr>
        <w:shd w:val="clear" w:color="ffffff" w:themeColor="accent2" w:themeTint="40" w:fill="fadecb" w:themeFill="accent2" w:themeFillTint="40"/>
      </w:tcPr>
    </w:tblStylePr>
    <w:tblStylePr w:type="band2Horz">
      <w:rPr>
        <w:rFonts w:ascii="Arial" w:hAnsi="Arial"/>
        <w:color w:val="c95712" w:themeColor="accent2" w:themeTint="97" w:themeShade="95"/>
        <w:sz w:val="22"/>
      </w:rPr>
    </w:tblStylePr>
    <w:tblStylePr w:type="firstCol">
      <w:rPr>
        <w:rFonts w:ascii="Arial" w:hAnsi="Arial"/>
        <w:i/>
        <w:color w:val="c95712"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c95712"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c95712"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c95712"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c95712" w:themeColor="accent2" w:themeTint="97" w:themeShade="95"/>
        <w:sz w:val="22"/>
      </w:rPr>
    </w:tblStylePr>
  </w:style>
  <w:style w:type="table" w:styleId="801">
    <w:name w:val="List Table 7 Colorful - Accent 3"/>
    <w:basedOn w:val="848"/>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57575" w:themeColor="accent3" w:themeTint="98" w:themeShade="95"/>
        <w:sz w:val="22"/>
      </w:rPr>
      <w:tcPr>
        <w:shd w:val="clear" w:color="ffffff" w:themeColor="accent3" w:themeTint="40" w:fill="e8e8e8" w:themeFill="accent3" w:themeFillTint="40"/>
      </w:tcPr>
    </w:tblStylePr>
    <w:tblStylePr w:type="band1Vert">
      <w:tcPr>
        <w:shd w:val="clear" w:color="ffffff" w:themeColor="accent3" w:themeTint="40" w:fill="e8e8e8" w:themeFill="accent3" w:themeFillTint="40"/>
      </w:tcPr>
    </w:tblStylePr>
    <w:tblStylePr w:type="band2Horz">
      <w:rPr>
        <w:rFonts w:ascii="Arial" w:hAnsi="Arial"/>
        <w:color w:val="757575" w:themeColor="accent3" w:themeTint="98" w:themeShade="95"/>
        <w:sz w:val="22"/>
      </w:rPr>
    </w:tblStylePr>
    <w:tblStylePr w:type="firstCol">
      <w:rPr>
        <w:rFonts w:ascii="Arial" w:hAnsi="Arial"/>
        <w:i/>
        <w:color w:val="757575"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757575"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757575"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757575"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757575" w:themeColor="accent3" w:themeTint="98" w:themeShade="95"/>
        <w:sz w:val="22"/>
      </w:rPr>
    </w:tblStylePr>
  </w:style>
  <w:style w:type="table" w:styleId="802">
    <w:name w:val="List Table 7 Colorful - Accent 4"/>
    <w:basedOn w:val="848"/>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cd9600" w:themeColor="accent4" w:themeTint="9A" w:themeShade="95"/>
        <w:sz w:val="22"/>
      </w:rPr>
      <w:tcPr>
        <w:shd w:val="clear" w:color="ffffff" w:themeColor="accent4" w:themeTint="40" w:fill="ffefbf" w:themeFill="accent4" w:themeFillTint="40"/>
      </w:tcPr>
    </w:tblStylePr>
    <w:tblStylePr w:type="band1Vert">
      <w:tcPr>
        <w:shd w:val="clear" w:color="ffffff" w:themeColor="accent4" w:themeTint="40" w:fill="ffefbf" w:themeFill="accent4" w:themeFillTint="40"/>
      </w:tcPr>
    </w:tblStylePr>
    <w:tblStylePr w:type="band2Horz">
      <w:rPr>
        <w:rFonts w:ascii="Arial" w:hAnsi="Arial"/>
        <w:color w:val="cd9600" w:themeColor="accent4" w:themeTint="9A" w:themeShade="95"/>
        <w:sz w:val="22"/>
      </w:rPr>
    </w:tblStylePr>
    <w:tblStylePr w:type="firstCol">
      <w:rPr>
        <w:rFonts w:ascii="Arial" w:hAnsi="Arial"/>
        <w:i/>
        <w:color w:val="cd9600"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cd9600"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cd9600"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cd9600"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cd9600" w:themeColor="accent4" w:themeTint="9A" w:themeShade="95"/>
        <w:sz w:val="22"/>
      </w:rPr>
    </w:tblStylePr>
  </w:style>
  <w:style w:type="table" w:styleId="803">
    <w:name w:val="List Table 7 Colorful - Accent 5"/>
    <w:basedOn w:val="848"/>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5e9e" w:themeColor="accent5" w:themeTint="9A" w:themeShade="95"/>
        <w:sz w:val="22"/>
      </w:rPr>
      <w:tcPr>
        <w:shd w:val="clear" w:color="ffffff" w:themeColor="accent5" w:themeTint="40" w:fill="cfdcf0" w:themeFill="accent5" w:themeFillTint="40"/>
      </w:tcPr>
    </w:tblStylePr>
    <w:tblStylePr w:type="band1Vert">
      <w:tcPr>
        <w:shd w:val="clear" w:color="ffffff" w:themeColor="accent5" w:themeTint="40" w:fill="cfdcf0" w:themeFill="accent5" w:themeFillTint="40"/>
      </w:tcPr>
    </w:tblStylePr>
    <w:tblStylePr w:type="band2Horz">
      <w:rPr>
        <w:rFonts w:ascii="Arial" w:hAnsi="Arial"/>
        <w:color w:val="335e9e" w:themeColor="accent5" w:themeTint="9A" w:themeShade="95"/>
        <w:sz w:val="22"/>
      </w:rPr>
    </w:tblStylePr>
    <w:tblStylePr w:type="firstCol">
      <w:rPr>
        <w:rFonts w:ascii="Arial" w:hAnsi="Arial"/>
        <w:i/>
        <w:color w:val="335e9e"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335e9e"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335e9e"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335e9e"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335e9e" w:themeColor="accent5" w:themeTint="9A" w:themeShade="95"/>
        <w:sz w:val="22"/>
      </w:rPr>
    </w:tblStylePr>
  </w:style>
  <w:style w:type="table" w:styleId="804">
    <w:name w:val="List Table 7 Colorful - Accent 6"/>
    <w:basedOn w:val="848"/>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5f8f3c" w:themeColor="accent6" w:themeTint="98" w:themeShade="95"/>
        <w:sz w:val="22"/>
      </w:rPr>
      <w:tcPr>
        <w:shd w:val="clear" w:color="ffffff" w:themeColor="accent6" w:themeTint="40" w:fill="dbebd0" w:themeFill="accent6" w:themeFillTint="40"/>
      </w:tcPr>
    </w:tblStylePr>
    <w:tblStylePr w:type="band1Vert">
      <w:tcPr>
        <w:shd w:val="clear" w:color="ffffff" w:themeColor="accent6" w:themeTint="40" w:fill="dbebd0" w:themeFill="accent6" w:themeFillTint="40"/>
      </w:tcPr>
    </w:tblStylePr>
    <w:tblStylePr w:type="band2Horz">
      <w:rPr>
        <w:rFonts w:ascii="Arial" w:hAnsi="Arial"/>
        <w:color w:val="5f8f3c" w:themeColor="accent6" w:themeTint="98" w:themeShade="95"/>
        <w:sz w:val="22"/>
      </w:rPr>
    </w:tblStylePr>
    <w:tblStylePr w:type="firstCol">
      <w:rPr>
        <w:rFonts w:ascii="Arial" w:hAnsi="Arial"/>
        <w:i/>
        <w:color w:val="5f8f3c"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5f8f3c"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5f8f3c"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5f8f3c"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5f8f3c" w:themeColor="accent6" w:themeTint="98" w:themeShade="95"/>
        <w:sz w:val="22"/>
      </w:rPr>
    </w:tblStylePr>
  </w:style>
  <w:style w:type="table" w:styleId="805">
    <w:name w:val="Lined - Accent"/>
    <w:basedOn w:val="848"/>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06">
    <w:name w:val="Lined - Accent 1"/>
    <w:basedOn w:val="848"/>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ce0f1" w:themeFill="accent1" w:themeFillTint="50"/>
      </w:tcPr>
    </w:tblStylePr>
    <w:tblStylePr w:type="band2Vert">
      <w:rPr>
        <w:rFonts w:ascii="Arial" w:hAnsi="Arial"/>
        <w:color w:val="404040"/>
        <w:sz w:val="22"/>
      </w:rPr>
      <w:tcPr>
        <w:shd w:val="clear" w:color="ffffff" w:themeColor="accent1" w:themeTint="50" w:fill="cce0f1" w:themeFill="accent1" w:themeFillTint="50"/>
      </w:tcPr>
    </w:tblStylePr>
    <w:tblStylePr w:type="firstCol">
      <w:rPr>
        <w:rFonts w:ascii="Arial" w:hAnsi="Arial"/>
        <w:color w:val="f2f2f2"/>
        <w:sz w:val="22"/>
      </w:rPr>
      <w:tcPr>
        <w:shd w:val="clear" w:color="ffffff" w:themeColor="accent1" w:themeTint="EA" w:fill="67a4d8" w:themeFill="accent1" w:themeFillTint="EA"/>
      </w:tcPr>
    </w:tblStylePr>
    <w:tblStylePr w:type="firstRow">
      <w:rPr>
        <w:rFonts w:ascii="Arial" w:hAnsi="Arial"/>
        <w:color w:val="f2f2f2"/>
        <w:sz w:val="22"/>
      </w:rPr>
      <w:tcPr>
        <w:shd w:val="clear" w:color="ffffff" w:themeColor="accent1" w:themeTint="EA" w:fill="67a4d8" w:themeFill="accent1" w:themeFillTint="EA"/>
      </w:tcPr>
    </w:tblStylePr>
    <w:tblStylePr w:type="lastCol">
      <w:rPr>
        <w:rFonts w:ascii="Arial" w:hAnsi="Arial"/>
        <w:color w:val="f2f2f2"/>
        <w:sz w:val="22"/>
      </w:rPr>
      <w:tcPr>
        <w:shd w:val="clear" w:color="ffffff" w:themeColor="accent1" w:themeTint="EA" w:fill="67a4d8" w:themeFill="accent1" w:themeFillTint="EA"/>
      </w:tcPr>
    </w:tblStylePr>
    <w:tblStylePr w:type="lastRow">
      <w:rPr>
        <w:rFonts w:ascii="Arial" w:hAnsi="Arial"/>
        <w:color w:val="f2f2f2"/>
        <w:sz w:val="22"/>
      </w:rPr>
      <w:tcPr>
        <w:shd w:val="clear" w:color="ffffff" w:themeColor="accent1" w:themeTint="EA" w:fill="67a4d8" w:themeFill="accent1" w:themeFillTint="EA"/>
      </w:tcPr>
    </w:tblStylePr>
  </w:style>
  <w:style w:type="table" w:styleId="807">
    <w:name w:val="Lined - Accent 2"/>
    <w:basedOn w:val="848"/>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be5d6" w:themeFill="accent2" w:themeFillTint="32"/>
      </w:tcPr>
    </w:tblStylePr>
    <w:tblStylePr w:type="band2Vert">
      <w:rPr>
        <w:rFonts w:ascii="Arial" w:hAnsi="Arial"/>
        <w:color w:val="404040"/>
        <w:sz w:val="22"/>
      </w:rPr>
      <w:tcPr>
        <w:shd w:val="clear" w:color="ffffff" w:themeColor="accent2" w:themeTint="32" w:fill="fbe5d6" w:themeFill="accent2" w:themeFillTint="32"/>
      </w:tcPr>
    </w:tblStylePr>
    <w:tblStylePr w:type="firstCol">
      <w:rPr>
        <w:rFonts w:ascii="Arial" w:hAnsi="Arial"/>
        <w:color w:val="f2f2f2"/>
        <w:sz w:val="22"/>
      </w:rPr>
      <w:tcPr>
        <w:shd w:val="clear" w:color="ffffff" w:themeColor="accent2" w:themeTint="97" w:fill="f4b185" w:themeFill="accent2" w:themeFillTint="97"/>
      </w:tcPr>
    </w:tblStylePr>
    <w:tblStylePr w:type="firstRow">
      <w:rPr>
        <w:rFonts w:ascii="Arial" w:hAnsi="Arial"/>
        <w:color w:val="f2f2f2"/>
        <w:sz w:val="22"/>
      </w:rPr>
      <w:tcPr>
        <w:shd w:val="clear" w:color="ffffff" w:themeColor="accent2" w:themeTint="97" w:fill="f4b185" w:themeFill="accent2" w:themeFillTint="97"/>
      </w:tcPr>
    </w:tblStylePr>
    <w:tblStylePr w:type="lastCol">
      <w:rPr>
        <w:rFonts w:ascii="Arial" w:hAnsi="Arial"/>
        <w:color w:val="f2f2f2"/>
        <w:sz w:val="22"/>
      </w:rPr>
      <w:tcPr>
        <w:shd w:val="clear" w:color="ffffff" w:themeColor="accent2" w:themeTint="97" w:fill="f4b185" w:themeFill="accent2" w:themeFillTint="97"/>
      </w:tcPr>
    </w:tblStylePr>
    <w:tblStylePr w:type="lastRow">
      <w:rPr>
        <w:rFonts w:ascii="Arial" w:hAnsi="Arial"/>
        <w:color w:val="f2f2f2"/>
        <w:sz w:val="22"/>
      </w:rPr>
      <w:tcPr>
        <w:shd w:val="clear" w:color="ffffff" w:themeColor="accent2" w:themeTint="97" w:fill="f4b185" w:themeFill="accent2" w:themeFillTint="97"/>
      </w:tcPr>
    </w:tblStylePr>
  </w:style>
  <w:style w:type="table" w:styleId="808">
    <w:name w:val="Lined - Accent 3"/>
    <w:basedOn w:val="848"/>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deded" w:themeFill="accent3" w:themeFillTint="34"/>
      </w:tcPr>
    </w:tblStylePr>
    <w:tblStylePr w:type="band2Vert">
      <w:rPr>
        <w:rFonts w:ascii="Arial" w:hAnsi="Arial"/>
        <w:color w:val="404040"/>
        <w:sz w:val="22"/>
      </w:rPr>
      <w:tcPr>
        <w:shd w:val="clear" w:color="ffffff" w:themeColor="accent3" w:themeTint="34" w:fill="ededed" w:themeFill="accent3" w:themeFillTint="34"/>
      </w:tcPr>
    </w:tblStylePr>
    <w:tblStylePr w:type="firstCol">
      <w:rPr>
        <w:rFonts w:ascii="Arial" w:hAnsi="Arial"/>
        <w:color w:val="f2f2f2"/>
        <w:sz w:val="22"/>
      </w:rPr>
      <w:tcPr>
        <w:shd w:val="clear" w:color="ffffff" w:themeColor="accent3" w:themeTint="FE" w:fill="a5a5a5" w:themeFill="accent3" w:themeFillTint="FE"/>
      </w:tcPr>
    </w:tblStylePr>
    <w:tblStylePr w:type="firstRow">
      <w:rPr>
        <w:rFonts w:ascii="Arial" w:hAnsi="Arial"/>
        <w:color w:val="f2f2f2"/>
        <w:sz w:val="22"/>
      </w:rPr>
      <w:tcPr>
        <w:shd w:val="clear" w:color="ffffff" w:themeColor="accent3" w:themeTint="FE" w:fill="a5a5a5" w:themeFill="accent3" w:themeFillTint="FE"/>
      </w:tcPr>
    </w:tblStylePr>
    <w:tblStylePr w:type="lastCol">
      <w:rPr>
        <w:rFonts w:ascii="Arial" w:hAnsi="Arial"/>
        <w:color w:val="f2f2f2"/>
        <w:sz w:val="22"/>
      </w:rPr>
      <w:tcPr>
        <w:shd w:val="clear" w:color="ffffff" w:themeColor="accent3" w:themeTint="FE" w:fill="a5a5a5" w:themeFill="accent3" w:themeFillTint="FE"/>
      </w:tcPr>
    </w:tblStylePr>
    <w:tblStylePr w:type="lastRow">
      <w:rPr>
        <w:rFonts w:ascii="Arial" w:hAnsi="Arial"/>
        <w:color w:val="f2f2f2"/>
        <w:sz w:val="22"/>
      </w:rPr>
      <w:tcPr>
        <w:shd w:val="clear" w:color="ffffff" w:themeColor="accent3" w:themeTint="FE" w:fill="a5a5a5" w:themeFill="accent3" w:themeFillTint="FE"/>
      </w:tcPr>
    </w:tblStylePr>
  </w:style>
  <w:style w:type="table" w:styleId="809">
    <w:name w:val="Lined - Accent 4"/>
    <w:basedOn w:val="848"/>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fef2cb" w:themeFill="accent4" w:themeFillTint="34"/>
      </w:tcPr>
    </w:tblStylePr>
    <w:tblStylePr w:type="band2Vert">
      <w:rPr>
        <w:rFonts w:ascii="Arial" w:hAnsi="Arial"/>
        <w:color w:val="404040"/>
        <w:sz w:val="22"/>
      </w:rPr>
      <w:tcPr>
        <w:shd w:val="clear" w:color="ffffff" w:themeColor="accent4" w:themeTint="34" w:fill="fef2cb" w:themeFill="accent4" w:themeFillTint="34"/>
      </w:tcPr>
    </w:tblStylePr>
    <w:tblStylePr w:type="firstCol">
      <w:rPr>
        <w:rFonts w:ascii="Arial" w:hAnsi="Arial"/>
        <w:color w:val="f2f2f2"/>
        <w:sz w:val="22"/>
      </w:rPr>
      <w:tcPr>
        <w:shd w:val="clear" w:color="ffffff" w:themeColor="accent4" w:themeTint="9A" w:fill="ffd864" w:themeFill="accent4" w:themeFillTint="9A"/>
      </w:tcPr>
    </w:tblStylePr>
    <w:tblStylePr w:type="firstRow">
      <w:rPr>
        <w:rFonts w:ascii="Arial" w:hAnsi="Arial"/>
        <w:color w:val="f2f2f2"/>
        <w:sz w:val="22"/>
      </w:rPr>
      <w:tcPr>
        <w:shd w:val="clear" w:color="ffffff" w:themeColor="accent4" w:themeTint="9A" w:fill="ffd864" w:themeFill="accent4" w:themeFillTint="9A"/>
      </w:tcPr>
    </w:tblStylePr>
    <w:tblStylePr w:type="lastCol">
      <w:rPr>
        <w:rFonts w:ascii="Arial" w:hAnsi="Arial"/>
        <w:color w:val="f2f2f2"/>
        <w:sz w:val="22"/>
      </w:rPr>
      <w:tcPr>
        <w:shd w:val="clear" w:color="ffffff" w:themeColor="accent4" w:themeTint="9A" w:fill="ffd864" w:themeFill="accent4" w:themeFillTint="9A"/>
      </w:tcPr>
    </w:tblStylePr>
    <w:tblStylePr w:type="lastRow">
      <w:rPr>
        <w:rFonts w:ascii="Arial" w:hAnsi="Arial"/>
        <w:color w:val="f2f2f2"/>
        <w:sz w:val="22"/>
      </w:rPr>
      <w:tcPr>
        <w:shd w:val="clear" w:color="ffffff" w:themeColor="accent4" w:themeTint="9A" w:fill="ffd864" w:themeFill="accent4" w:themeFillTint="9A"/>
      </w:tcPr>
    </w:tblStylePr>
  </w:style>
  <w:style w:type="table" w:styleId="810">
    <w:name w:val="Lined - Accent 5"/>
    <w:basedOn w:val="848"/>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9e2f2" w:themeFill="accent5" w:themeFillTint="34"/>
      </w:tcPr>
    </w:tblStylePr>
    <w:tblStylePr w:type="band2Vert">
      <w:rPr>
        <w:rFonts w:ascii="Arial" w:hAnsi="Arial"/>
        <w:color w:val="404040"/>
        <w:sz w:val="22"/>
      </w:rPr>
      <w:tcPr>
        <w:shd w:val="clear" w:color="ffffff" w:themeColor="accent5" w:themeTint="34" w:fill="d9e2f2" w:themeFill="accent5" w:themeFillTint="34"/>
      </w:tcPr>
    </w:tblStylePr>
    <w:tblStylePr w:type="firstCol">
      <w:rPr>
        <w:rFonts w:ascii="Arial" w:hAnsi="Arial"/>
        <w:color w:val="f2f2f2"/>
        <w:sz w:val="22"/>
      </w:rPr>
      <w:tcPr>
        <w:shd w:val="clear" w:color="ffffff" w:themeColor="accent5" w:fill="4472c4" w:themeFill="accent5"/>
      </w:tcPr>
    </w:tblStylePr>
    <w:tblStylePr w:type="firstRow">
      <w:rPr>
        <w:rFonts w:ascii="Arial" w:hAnsi="Arial"/>
        <w:color w:val="f2f2f2"/>
        <w:sz w:val="22"/>
      </w:rPr>
      <w:tcPr>
        <w:shd w:val="clear" w:color="ffffff" w:themeColor="accent5" w:fill="4472c4" w:themeFill="accent5"/>
      </w:tcPr>
    </w:tblStylePr>
    <w:tblStylePr w:type="lastCol">
      <w:rPr>
        <w:rFonts w:ascii="Arial" w:hAnsi="Arial"/>
        <w:color w:val="f2f2f2"/>
        <w:sz w:val="22"/>
      </w:rPr>
      <w:tcPr>
        <w:shd w:val="clear" w:color="ffffff" w:themeColor="accent5" w:fill="4472c4" w:themeFill="accent5"/>
      </w:tcPr>
    </w:tblStylePr>
    <w:tblStylePr w:type="lastRow">
      <w:rPr>
        <w:rFonts w:ascii="Arial" w:hAnsi="Arial"/>
        <w:color w:val="f2f2f2"/>
        <w:sz w:val="22"/>
      </w:rPr>
      <w:tcPr>
        <w:shd w:val="clear" w:color="ffffff" w:themeColor="accent5" w:fill="4472c4" w:themeFill="accent5"/>
      </w:tcPr>
    </w:tblStylePr>
  </w:style>
  <w:style w:type="table" w:styleId="811">
    <w:name w:val="Lined - Accent 6"/>
    <w:basedOn w:val="848"/>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e2efd8" w:themeFill="accent6" w:themeFillTint="34"/>
      </w:tcPr>
    </w:tblStylePr>
    <w:tblStylePr w:type="band2Vert">
      <w:rPr>
        <w:rFonts w:ascii="Arial" w:hAnsi="Arial"/>
        <w:color w:val="404040"/>
        <w:sz w:val="22"/>
      </w:rPr>
      <w:tcPr>
        <w:shd w:val="clear" w:color="ffffff" w:themeColor="accent6" w:themeTint="34" w:fill="e2efd8" w:themeFill="accent6" w:themeFillTint="34"/>
      </w:tcPr>
    </w:tblStylePr>
    <w:tblStylePr w:type="firstCol">
      <w:rPr>
        <w:rFonts w:ascii="Arial" w:hAnsi="Arial"/>
        <w:color w:val="f2f2f2"/>
        <w:sz w:val="22"/>
      </w:rPr>
      <w:tcPr>
        <w:shd w:val="clear" w:color="ffffff" w:themeColor="accent6" w:fill="70ad47" w:themeFill="accent6"/>
      </w:tcPr>
    </w:tblStylePr>
    <w:tblStylePr w:type="firstRow">
      <w:rPr>
        <w:rFonts w:ascii="Arial" w:hAnsi="Arial"/>
        <w:color w:val="f2f2f2"/>
        <w:sz w:val="22"/>
      </w:rPr>
      <w:tcPr>
        <w:shd w:val="clear" w:color="ffffff" w:themeColor="accent6" w:fill="70ad47" w:themeFill="accent6"/>
      </w:tcPr>
    </w:tblStylePr>
    <w:tblStylePr w:type="lastCol">
      <w:rPr>
        <w:rFonts w:ascii="Arial" w:hAnsi="Arial"/>
        <w:color w:val="f2f2f2"/>
        <w:sz w:val="22"/>
      </w:rPr>
      <w:tcPr>
        <w:shd w:val="clear" w:color="ffffff" w:themeColor="accent6" w:fill="70ad47" w:themeFill="accent6"/>
      </w:tcPr>
    </w:tblStylePr>
    <w:tblStylePr w:type="lastRow">
      <w:rPr>
        <w:rFonts w:ascii="Arial" w:hAnsi="Arial"/>
        <w:color w:val="f2f2f2"/>
        <w:sz w:val="22"/>
      </w:rPr>
      <w:tcPr>
        <w:shd w:val="clear" w:color="ffffff" w:themeColor="accent6" w:fill="70ad47" w:themeFill="accent6"/>
      </w:tcPr>
    </w:tblStylePr>
  </w:style>
  <w:style w:type="table" w:styleId="812">
    <w:name w:val="Bordered &amp; Lined - Accent"/>
    <w:basedOn w:val="848"/>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13">
    <w:name w:val="Bordered &amp; Lined - Accent 1"/>
    <w:basedOn w:val="848"/>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ce0f1" w:themeFill="accent1" w:themeFillTint="50"/>
      </w:tcPr>
    </w:tblStylePr>
    <w:tblStylePr w:type="band2Vert">
      <w:rPr>
        <w:rFonts w:ascii="Arial" w:hAnsi="Arial"/>
        <w:color w:val="404040"/>
        <w:sz w:val="22"/>
      </w:rPr>
      <w:tcPr>
        <w:shd w:val="clear" w:color="ffffff" w:themeColor="accent1" w:themeTint="50" w:fill="cce0f1" w:themeFill="accent1" w:themeFillTint="50"/>
      </w:tcPr>
    </w:tblStylePr>
    <w:tblStylePr w:type="firstCol">
      <w:rPr>
        <w:rFonts w:ascii="Arial" w:hAnsi="Arial"/>
        <w:color w:val="f2f2f2"/>
        <w:sz w:val="22"/>
      </w:rPr>
      <w:tcPr>
        <w:shd w:val="clear" w:color="ffffff" w:themeColor="accent1" w:themeTint="EA" w:fill="67a4d8" w:themeFill="accent1" w:themeFillTint="EA"/>
      </w:tcPr>
    </w:tblStylePr>
    <w:tblStylePr w:type="firstRow">
      <w:rPr>
        <w:rFonts w:ascii="Arial" w:hAnsi="Arial"/>
        <w:color w:val="f2f2f2"/>
        <w:sz w:val="22"/>
      </w:rPr>
      <w:tcPr>
        <w:shd w:val="clear" w:color="ffffff" w:themeColor="accent1" w:themeTint="EA" w:fill="67a4d8" w:themeFill="accent1" w:themeFillTint="EA"/>
      </w:tcPr>
    </w:tblStylePr>
    <w:tblStylePr w:type="lastCol">
      <w:rPr>
        <w:rFonts w:ascii="Arial" w:hAnsi="Arial"/>
        <w:color w:val="f2f2f2"/>
        <w:sz w:val="22"/>
      </w:rPr>
      <w:tcPr>
        <w:shd w:val="clear" w:color="ffffff" w:themeColor="accent1" w:themeTint="EA" w:fill="67a4d8" w:themeFill="accent1" w:themeFillTint="EA"/>
      </w:tcPr>
    </w:tblStylePr>
    <w:tblStylePr w:type="lastRow">
      <w:rPr>
        <w:rFonts w:ascii="Arial" w:hAnsi="Arial"/>
        <w:color w:val="f2f2f2"/>
        <w:sz w:val="22"/>
      </w:rPr>
      <w:tcPr>
        <w:shd w:val="clear" w:color="ffffff" w:themeColor="accent1" w:themeTint="EA" w:fill="67a4d8" w:themeFill="accent1" w:themeFillTint="EA"/>
      </w:tcPr>
    </w:tblStylePr>
  </w:style>
  <w:style w:type="table" w:styleId="814">
    <w:name w:val="Bordered &amp; Lined - Accent 2"/>
    <w:basedOn w:val="848"/>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be5d6" w:themeFill="accent2" w:themeFillTint="32"/>
      </w:tcPr>
    </w:tblStylePr>
    <w:tblStylePr w:type="band2Vert">
      <w:rPr>
        <w:rFonts w:ascii="Arial" w:hAnsi="Arial"/>
        <w:color w:val="404040"/>
        <w:sz w:val="22"/>
      </w:rPr>
      <w:tcPr>
        <w:shd w:val="clear" w:color="ffffff" w:themeColor="accent2" w:themeTint="32" w:fill="fbe5d6" w:themeFill="accent2" w:themeFillTint="32"/>
      </w:tcPr>
    </w:tblStylePr>
    <w:tblStylePr w:type="firstCol">
      <w:rPr>
        <w:rFonts w:ascii="Arial" w:hAnsi="Arial"/>
        <w:color w:val="f2f2f2"/>
        <w:sz w:val="22"/>
      </w:rPr>
      <w:tcPr>
        <w:shd w:val="clear" w:color="ffffff" w:themeColor="accent2" w:themeTint="97" w:fill="f4b185" w:themeFill="accent2" w:themeFillTint="97"/>
      </w:tcPr>
    </w:tblStylePr>
    <w:tblStylePr w:type="firstRow">
      <w:rPr>
        <w:rFonts w:ascii="Arial" w:hAnsi="Arial"/>
        <w:color w:val="f2f2f2"/>
        <w:sz w:val="22"/>
      </w:rPr>
      <w:tcPr>
        <w:shd w:val="clear" w:color="ffffff" w:themeColor="accent2" w:themeTint="97" w:fill="f4b185" w:themeFill="accent2" w:themeFillTint="97"/>
      </w:tcPr>
    </w:tblStylePr>
    <w:tblStylePr w:type="lastCol">
      <w:rPr>
        <w:rFonts w:ascii="Arial" w:hAnsi="Arial"/>
        <w:color w:val="f2f2f2"/>
        <w:sz w:val="22"/>
      </w:rPr>
      <w:tcPr>
        <w:shd w:val="clear" w:color="ffffff" w:themeColor="accent2" w:themeTint="97" w:fill="f4b185" w:themeFill="accent2" w:themeFillTint="97"/>
      </w:tcPr>
    </w:tblStylePr>
    <w:tblStylePr w:type="lastRow">
      <w:rPr>
        <w:rFonts w:ascii="Arial" w:hAnsi="Arial"/>
        <w:color w:val="f2f2f2"/>
        <w:sz w:val="22"/>
      </w:rPr>
      <w:tcPr>
        <w:shd w:val="clear" w:color="ffffff" w:themeColor="accent2" w:themeTint="97" w:fill="f4b185" w:themeFill="accent2" w:themeFillTint="97"/>
      </w:tcPr>
    </w:tblStylePr>
  </w:style>
  <w:style w:type="table" w:styleId="815">
    <w:name w:val="Bordered &amp; Lined - Accent 3"/>
    <w:basedOn w:val="848"/>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deded" w:themeFill="accent3" w:themeFillTint="34"/>
      </w:tcPr>
    </w:tblStylePr>
    <w:tblStylePr w:type="band2Vert">
      <w:rPr>
        <w:rFonts w:ascii="Arial" w:hAnsi="Arial"/>
        <w:color w:val="404040"/>
        <w:sz w:val="22"/>
      </w:rPr>
      <w:tcPr>
        <w:shd w:val="clear" w:color="ffffff" w:themeColor="accent3" w:themeTint="34" w:fill="ededed" w:themeFill="accent3" w:themeFillTint="34"/>
      </w:tcPr>
    </w:tblStylePr>
    <w:tblStylePr w:type="firstCol">
      <w:rPr>
        <w:rFonts w:ascii="Arial" w:hAnsi="Arial"/>
        <w:color w:val="f2f2f2"/>
        <w:sz w:val="22"/>
      </w:rPr>
      <w:tcPr>
        <w:shd w:val="clear" w:color="ffffff" w:themeColor="accent3" w:themeTint="FE" w:fill="a5a5a5" w:themeFill="accent3" w:themeFillTint="FE"/>
      </w:tcPr>
    </w:tblStylePr>
    <w:tblStylePr w:type="firstRow">
      <w:rPr>
        <w:rFonts w:ascii="Arial" w:hAnsi="Arial"/>
        <w:color w:val="f2f2f2"/>
        <w:sz w:val="22"/>
      </w:rPr>
      <w:tcPr>
        <w:shd w:val="clear" w:color="ffffff" w:themeColor="accent3" w:themeTint="FE" w:fill="a5a5a5" w:themeFill="accent3" w:themeFillTint="FE"/>
      </w:tcPr>
    </w:tblStylePr>
    <w:tblStylePr w:type="lastCol">
      <w:rPr>
        <w:rFonts w:ascii="Arial" w:hAnsi="Arial"/>
        <w:color w:val="f2f2f2"/>
        <w:sz w:val="22"/>
      </w:rPr>
      <w:tcPr>
        <w:shd w:val="clear" w:color="ffffff" w:themeColor="accent3" w:themeTint="FE" w:fill="a5a5a5" w:themeFill="accent3" w:themeFillTint="FE"/>
      </w:tcPr>
    </w:tblStylePr>
    <w:tblStylePr w:type="lastRow">
      <w:rPr>
        <w:rFonts w:ascii="Arial" w:hAnsi="Arial"/>
        <w:color w:val="f2f2f2"/>
        <w:sz w:val="22"/>
      </w:rPr>
      <w:tcPr>
        <w:shd w:val="clear" w:color="ffffff" w:themeColor="accent3" w:themeTint="FE" w:fill="a5a5a5" w:themeFill="accent3" w:themeFillTint="FE"/>
      </w:tcPr>
    </w:tblStylePr>
  </w:style>
  <w:style w:type="table" w:styleId="816">
    <w:name w:val="Bordered &amp; Lined - Accent 4"/>
    <w:basedOn w:val="848"/>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fef2cb" w:themeFill="accent4" w:themeFillTint="34"/>
      </w:tcPr>
    </w:tblStylePr>
    <w:tblStylePr w:type="band2Vert">
      <w:rPr>
        <w:rFonts w:ascii="Arial" w:hAnsi="Arial"/>
        <w:color w:val="404040"/>
        <w:sz w:val="22"/>
      </w:rPr>
      <w:tcPr>
        <w:shd w:val="clear" w:color="ffffff" w:themeColor="accent4" w:themeTint="34" w:fill="fef2cb" w:themeFill="accent4" w:themeFillTint="34"/>
      </w:tcPr>
    </w:tblStylePr>
    <w:tblStylePr w:type="firstCol">
      <w:rPr>
        <w:rFonts w:ascii="Arial" w:hAnsi="Arial"/>
        <w:color w:val="f2f2f2"/>
        <w:sz w:val="22"/>
      </w:rPr>
      <w:tcPr>
        <w:shd w:val="clear" w:color="ffffff" w:themeColor="accent4" w:themeTint="9A" w:fill="ffd864" w:themeFill="accent4" w:themeFillTint="9A"/>
      </w:tcPr>
    </w:tblStylePr>
    <w:tblStylePr w:type="firstRow">
      <w:rPr>
        <w:rFonts w:ascii="Arial" w:hAnsi="Arial"/>
        <w:color w:val="f2f2f2"/>
        <w:sz w:val="22"/>
      </w:rPr>
      <w:tcPr>
        <w:shd w:val="clear" w:color="ffffff" w:themeColor="accent4" w:themeTint="9A" w:fill="ffd864" w:themeFill="accent4" w:themeFillTint="9A"/>
      </w:tcPr>
    </w:tblStylePr>
    <w:tblStylePr w:type="lastCol">
      <w:rPr>
        <w:rFonts w:ascii="Arial" w:hAnsi="Arial"/>
        <w:color w:val="f2f2f2"/>
        <w:sz w:val="22"/>
      </w:rPr>
      <w:tcPr>
        <w:shd w:val="clear" w:color="ffffff" w:themeColor="accent4" w:themeTint="9A" w:fill="ffd864" w:themeFill="accent4" w:themeFillTint="9A"/>
      </w:tcPr>
    </w:tblStylePr>
    <w:tblStylePr w:type="lastRow">
      <w:rPr>
        <w:rFonts w:ascii="Arial" w:hAnsi="Arial"/>
        <w:color w:val="f2f2f2"/>
        <w:sz w:val="22"/>
      </w:rPr>
      <w:tcPr>
        <w:shd w:val="clear" w:color="ffffff" w:themeColor="accent4" w:themeTint="9A" w:fill="ffd864" w:themeFill="accent4" w:themeFillTint="9A"/>
      </w:tcPr>
    </w:tblStylePr>
  </w:style>
  <w:style w:type="table" w:styleId="817">
    <w:name w:val="Bordered &amp; Lined - Accent 5"/>
    <w:basedOn w:val="848"/>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9e2f2" w:themeFill="accent5" w:themeFillTint="34"/>
      </w:tcPr>
    </w:tblStylePr>
    <w:tblStylePr w:type="band2Vert">
      <w:rPr>
        <w:rFonts w:ascii="Arial" w:hAnsi="Arial"/>
        <w:color w:val="404040"/>
        <w:sz w:val="22"/>
      </w:rPr>
      <w:tcPr>
        <w:shd w:val="clear" w:color="ffffff" w:themeColor="accent5" w:themeTint="34" w:fill="d9e2f2" w:themeFill="accent5" w:themeFillTint="34"/>
      </w:tcPr>
    </w:tblStylePr>
    <w:tblStylePr w:type="firstCol">
      <w:rPr>
        <w:rFonts w:ascii="Arial" w:hAnsi="Arial"/>
        <w:color w:val="f2f2f2"/>
        <w:sz w:val="22"/>
      </w:rPr>
      <w:tcPr>
        <w:shd w:val="clear" w:color="ffffff" w:themeColor="accent5" w:fill="4472c4" w:themeFill="accent5"/>
      </w:tcPr>
    </w:tblStylePr>
    <w:tblStylePr w:type="firstRow">
      <w:rPr>
        <w:rFonts w:ascii="Arial" w:hAnsi="Arial"/>
        <w:color w:val="f2f2f2"/>
        <w:sz w:val="22"/>
      </w:rPr>
      <w:tcPr>
        <w:shd w:val="clear" w:color="ffffff" w:themeColor="accent5" w:fill="4472c4" w:themeFill="accent5"/>
      </w:tcPr>
    </w:tblStylePr>
    <w:tblStylePr w:type="lastCol">
      <w:rPr>
        <w:rFonts w:ascii="Arial" w:hAnsi="Arial"/>
        <w:color w:val="f2f2f2"/>
        <w:sz w:val="22"/>
      </w:rPr>
      <w:tcPr>
        <w:shd w:val="clear" w:color="ffffff" w:themeColor="accent5" w:fill="4472c4" w:themeFill="accent5"/>
      </w:tcPr>
    </w:tblStylePr>
    <w:tblStylePr w:type="lastRow">
      <w:rPr>
        <w:rFonts w:ascii="Arial" w:hAnsi="Arial"/>
        <w:color w:val="f2f2f2"/>
        <w:sz w:val="22"/>
      </w:rPr>
      <w:tcPr>
        <w:shd w:val="clear" w:color="ffffff" w:themeColor="accent5" w:fill="4472c4" w:themeFill="accent5"/>
      </w:tcPr>
    </w:tblStylePr>
  </w:style>
  <w:style w:type="table" w:styleId="818">
    <w:name w:val="Bordered &amp; Lined - Accent 6"/>
    <w:basedOn w:val="848"/>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e2efd8" w:themeFill="accent6" w:themeFillTint="34"/>
      </w:tcPr>
    </w:tblStylePr>
    <w:tblStylePr w:type="band2Vert">
      <w:rPr>
        <w:rFonts w:ascii="Arial" w:hAnsi="Arial"/>
        <w:color w:val="404040"/>
        <w:sz w:val="22"/>
      </w:rPr>
      <w:tcPr>
        <w:shd w:val="clear" w:color="ffffff" w:themeColor="accent6" w:themeTint="34" w:fill="e2efd8" w:themeFill="accent6" w:themeFillTint="34"/>
      </w:tcPr>
    </w:tblStylePr>
    <w:tblStylePr w:type="firstCol">
      <w:rPr>
        <w:rFonts w:ascii="Arial" w:hAnsi="Arial"/>
        <w:color w:val="f2f2f2"/>
        <w:sz w:val="22"/>
      </w:rPr>
      <w:tcPr>
        <w:shd w:val="clear" w:color="ffffff" w:themeColor="accent6" w:fill="70ad47" w:themeFill="accent6"/>
      </w:tcPr>
    </w:tblStylePr>
    <w:tblStylePr w:type="firstRow">
      <w:rPr>
        <w:rFonts w:ascii="Arial" w:hAnsi="Arial"/>
        <w:color w:val="f2f2f2"/>
        <w:sz w:val="22"/>
      </w:rPr>
      <w:tcPr>
        <w:shd w:val="clear" w:color="ffffff" w:themeColor="accent6" w:fill="70ad47" w:themeFill="accent6"/>
      </w:tcPr>
    </w:tblStylePr>
    <w:tblStylePr w:type="lastCol">
      <w:rPr>
        <w:rFonts w:ascii="Arial" w:hAnsi="Arial"/>
        <w:color w:val="f2f2f2"/>
        <w:sz w:val="22"/>
      </w:rPr>
      <w:tcPr>
        <w:shd w:val="clear" w:color="ffffff" w:themeColor="accent6" w:fill="70ad47" w:themeFill="accent6"/>
      </w:tcPr>
    </w:tblStylePr>
    <w:tblStylePr w:type="lastRow">
      <w:rPr>
        <w:rFonts w:ascii="Arial" w:hAnsi="Arial"/>
        <w:color w:val="f2f2f2"/>
        <w:sz w:val="22"/>
      </w:rPr>
      <w:tcPr>
        <w:shd w:val="clear" w:color="ffffff" w:themeColor="accent6" w:fill="70ad47" w:themeFill="accent6"/>
      </w:tcPr>
    </w:tblStylePr>
  </w:style>
  <w:style w:type="table" w:styleId="819">
    <w:name w:val="Bordered"/>
    <w:basedOn w:val="848"/>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820">
    <w:name w:val="Bordered - Accent 1"/>
    <w:basedOn w:val="848"/>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821">
    <w:name w:val="Bordered - Accent 2"/>
    <w:basedOn w:val="848"/>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822">
    <w:name w:val="Bordered - Accent 3"/>
    <w:basedOn w:val="848"/>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823">
    <w:name w:val="Bordered - Accent 4"/>
    <w:basedOn w:val="848"/>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824">
    <w:name w:val="Bordered - Accent 5"/>
    <w:basedOn w:val="848"/>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825">
    <w:name w:val="Bordered - Accent 6"/>
    <w:basedOn w:val="848"/>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826">
    <w:name w:val="Hyperlink"/>
    <w:uiPriority w:val="99"/>
    <w:unhideWhenUsed/>
    <w:rPr>
      <w:color w:val="0000ff" w:themeColor="hyperlink"/>
      <w:u w:val="single"/>
    </w:rPr>
  </w:style>
  <w:style w:type="paragraph" w:styleId="827">
    <w:name w:val="footnote text"/>
    <w:basedOn w:val="844"/>
    <w:link w:val="828"/>
    <w:uiPriority w:val="99"/>
    <w:semiHidden/>
    <w:unhideWhenUsed/>
    <w:pPr>
      <w:spacing w:after="40" w:line="240" w:lineRule="auto"/>
    </w:pPr>
    <w:rPr>
      <w:sz w:val="18"/>
    </w:rPr>
  </w:style>
  <w:style w:type="character" w:styleId="828">
    <w:name w:val="Footnote Text Char"/>
    <w:link w:val="827"/>
    <w:uiPriority w:val="99"/>
    <w:rPr>
      <w:sz w:val="18"/>
    </w:rPr>
  </w:style>
  <w:style w:type="character" w:styleId="829">
    <w:name w:val="footnote reference"/>
    <w:basedOn w:val="847"/>
    <w:uiPriority w:val="99"/>
    <w:unhideWhenUsed/>
    <w:rPr>
      <w:vertAlign w:val="superscript"/>
    </w:rPr>
  </w:style>
  <w:style w:type="paragraph" w:styleId="830">
    <w:name w:val="endnote text"/>
    <w:basedOn w:val="844"/>
    <w:link w:val="831"/>
    <w:uiPriority w:val="99"/>
    <w:semiHidden/>
    <w:unhideWhenUsed/>
    <w:pPr>
      <w:spacing w:after="0" w:line="240" w:lineRule="auto"/>
    </w:pPr>
    <w:rPr>
      <w:sz w:val="20"/>
    </w:rPr>
  </w:style>
  <w:style w:type="character" w:styleId="831">
    <w:name w:val="Endnote Text Char"/>
    <w:link w:val="830"/>
    <w:uiPriority w:val="99"/>
    <w:rPr>
      <w:sz w:val="20"/>
    </w:rPr>
  </w:style>
  <w:style w:type="character" w:styleId="832">
    <w:name w:val="endnote reference"/>
    <w:basedOn w:val="847"/>
    <w:uiPriority w:val="99"/>
    <w:semiHidden/>
    <w:unhideWhenUsed/>
    <w:rPr>
      <w:vertAlign w:val="superscript"/>
    </w:rPr>
  </w:style>
  <w:style w:type="paragraph" w:styleId="833">
    <w:name w:val="toc 1"/>
    <w:basedOn w:val="844"/>
    <w:next w:val="844"/>
    <w:uiPriority w:val="39"/>
    <w:unhideWhenUsed/>
    <w:pPr>
      <w:ind w:left="0" w:right="0" w:firstLine="0"/>
      <w:spacing w:after="57"/>
    </w:pPr>
  </w:style>
  <w:style w:type="paragraph" w:styleId="834">
    <w:name w:val="toc 2"/>
    <w:basedOn w:val="844"/>
    <w:next w:val="844"/>
    <w:uiPriority w:val="39"/>
    <w:unhideWhenUsed/>
    <w:pPr>
      <w:ind w:left="283" w:right="0" w:firstLine="0"/>
      <w:spacing w:after="57"/>
    </w:pPr>
  </w:style>
  <w:style w:type="paragraph" w:styleId="835">
    <w:name w:val="toc 3"/>
    <w:basedOn w:val="844"/>
    <w:next w:val="844"/>
    <w:uiPriority w:val="39"/>
    <w:unhideWhenUsed/>
    <w:pPr>
      <w:ind w:left="567" w:right="0" w:firstLine="0"/>
      <w:spacing w:after="57"/>
    </w:pPr>
  </w:style>
  <w:style w:type="paragraph" w:styleId="836">
    <w:name w:val="toc 4"/>
    <w:basedOn w:val="844"/>
    <w:next w:val="844"/>
    <w:uiPriority w:val="39"/>
    <w:unhideWhenUsed/>
    <w:pPr>
      <w:ind w:left="850" w:right="0" w:firstLine="0"/>
      <w:spacing w:after="57"/>
    </w:pPr>
  </w:style>
  <w:style w:type="paragraph" w:styleId="837">
    <w:name w:val="toc 5"/>
    <w:basedOn w:val="844"/>
    <w:next w:val="844"/>
    <w:uiPriority w:val="39"/>
    <w:unhideWhenUsed/>
    <w:pPr>
      <w:ind w:left="1134" w:right="0" w:firstLine="0"/>
      <w:spacing w:after="57"/>
    </w:pPr>
  </w:style>
  <w:style w:type="paragraph" w:styleId="838">
    <w:name w:val="toc 6"/>
    <w:basedOn w:val="844"/>
    <w:next w:val="844"/>
    <w:uiPriority w:val="39"/>
    <w:unhideWhenUsed/>
    <w:pPr>
      <w:ind w:left="1417" w:right="0" w:firstLine="0"/>
      <w:spacing w:after="57"/>
    </w:pPr>
  </w:style>
  <w:style w:type="paragraph" w:styleId="839">
    <w:name w:val="toc 7"/>
    <w:basedOn w:val="844"/>
    <w:next w:val="844"/>
    <w:uiPriority w:val="39"/>
    <w:unhideWhenUsed/>
    <w:pPr>
      <w:ind w:left="1701" w:right="0" w:firstLine="0"/>
      <w:spacing w:after="57"/>
    </w:pPr>
  </w:style>
  <w:style w:type="paragraph" w:styleId="840">
    <w:name w:val="toc 8"/>
    <w:basedOn w:val="844"/>
    <w:next w:val="844"/>
    <w:uiPriority w:val="39"/>
    <w:unhideWhenUsed/>
    <w:pPr>
      <w:ind w:left="1984" w:right="0" w:firstLine="0"/>
      <w:spacing w:after="57"/>
    </w:pPr>
  </w:style>
  <w:style w:type="paragraph" w:styleId="841">
    <w:name w:val="toc 9"/>
    <w:basedOn w:val="844"/>
    <w:next w:val="844"/>
    <w:uiPriority w:val="39"/>
    <w:unhideWhenUsed/>
    <w:pPr>
      <w:ind w:left="2268" w:right="0" w:firstLine="0"/>
      <w:spacing w:after="57"/>
    </w:pPr>
  </w:style>
  <w:style w:type="paragraph" w:styleId="842">
    <w:name w:val="TOC Heading"/>
    <w:uiPriority w:val="39"/>
    <w:unhideWhenUsed/>
  </w:style>
  <w:style w:type="paragraph" w:styleId="843">
    <w:name w:val="table of figures"/>
    <w:basedOn w:val="844"/>
    <w:next w:val="844"/>
    <w:uiPriority w:val="99"/>
    <w:unhideWhenUsed/>
    <w:pPr>
      <w:spacing w:after="0" w:afterAutospacing="0"/>
    </w:pPr>
  </w:style>
  <w:style w:type="paragraph" w:styleId="844" w:default="1">
    <w:name w:val="Normal"/>
    <w:uiPriority w:val="0"/>
    <w:qFormat/>
    <w:pPr>
      <w:jc w:val="both"/>
      <w:widowControl w:val="off"/>
    </w:pPr>
    <w:rPr>
      <w:rFonts w:asciiTheme="minorHAnsi" w:hAnsiTheme="minorHAnsi" w:eastAsiaTheme="minorEastAsia" w:cstheme="minorBidi"/>
      <w:sz w:val="21"/>
      <w:szCs w:val="24"/>
      <w:lang w:val="en-US" w:eastAsia="zh-CN" w:bidi="ar-SA"/>
    </w:rPr>
  </w:style>
  <w:style w:type="paragraph" w:styleId="845">
    <w:name w:val="Heading 1"/>
    <w:basedOn w:val="844"/>
    <w:next w:val="844"/>
    <w:uiPriority w:val="0"/>
    <w:qFormat/>
    <w:pPr>
      <w:keepLines/>
      <w:keepNext/>
      <w:spacing w:before="340" w:after="330" w:line="576" w:lineRule="auto"/>
      <w:outlineLvl w:val="0"/>
    </w:pPr>
    <w:rPr>
      <w:b/>
      <w:sz w:val="44"/>
    </w:rPr>
  </w:style>
  <w:style w:type="paragraph" w:styleId="846">
    <w:name w:val="Heading 2"/>
    <w:basedOn w:val="844"/>
    <w:next w:val="844"/>
    <w:uiPriority w:val="0"/>
    <w:semiHidden/>
    <w:unhideWhenUsed/>
    <w:qFormat/>
    <w:pPr>
      <w:jc w:val="left"/>
      <w:spacing w:before="0" w:beforeAutospacing="1" w:after="0" w:afterAutospacing="1"/>
    </w:pPr>
    <w:rPr>
      <w:rFonts w:hint="eastAsia" w:ascii="宋体" w:hAnsi="宋体" w:eastAsia="宋体" w:cs="宋体"/>
      <w:b/>
      <w:bCs/>
      <w:sz w:val="36"/>
      <w:szCs w:val="36"/>
      <w:lang w:val="en-US" w:eastAsia="zh-CN" w:bidi="ar"/>
    </w:rPr>
  </w:style>
  <w:style w:type="character" w:styleId="847" w:default="1">
    <w:name w:val="Default Paragraph Font"/>
    <w:uiPriority w:val="1"/>
    <w:semiHidden/>
    <w:unhideWhenUsed/>
    <w:qFormat/>
  </w:style>
  <w:style w:type="table" w:styleId="848" w:default="1">
    <w:name w:val="Normal Table"/>
    <w:uiPriority w:val="99"/>
    <w:semiHidden/>
    <w:unhideWhenUsed/>
    <w:qFormat/>
    <w:tblPr>
      <w:tblCellMar>
        <w:left w:w="108" w:type="dxa"/>
        <w:top w:w="0" w:type="dxa"/>
        <w:right w:w="108" w:type="dxa"/>
        <w:bottom w:w="0" w:type="dxa"/>
      </w:tblCellMar>
    </w:tblPr>
  </w:style>
  <w:style w:type="paragraph" w:styleId="849">
    <w:name w:val="annotation text"/>
    <w:basedOn w:val="844"/>
    <w:uiPriority w:val="0"/>
    <w:qFormat/>
    <w:pPr>
      <w:jc w:val="left"/>
    </w:pPr>
  </w:style>
  <w:style w:type="paragraph" w:styleId="850">
    <w:name w:val="Body Text"/>
    <w:basedOn w:val="844"/>
    <w:next w:val="844"/>
    <w:uiPriority w:val="0"/>
    <w:unhideWhenUsed/>
    <w:qFormat/>
    <w:pPr>
      <w:spacing w:after="120"/>
    </w:pPr>
    <w:rPr>
      <w:rFonts w:ascii="Calibri" w:hAnsi="Calibri"/>
      <w:szCs w:val="22"/>
    </w:rPr>
  </w:style>
  <w:style w:type="paragraph" w:styleId="851">
    <w:name w:val="Body Text Indent"/>
    <w:basedOn w:val="844"/>
    <w:next w:val="844"/>
    <w:uiPriority w:val="0"/>
    <w:qFormat/>
    <w:pPr>
      <w:ind w:firstLine="600"/>
      <w:spacing w:line="360" w:lineRule="auto"/>
    </w:pPr>
    <w:rPr>
      <w:rFonts w:ascii="仿宋_GB2312" w:eastAsia="仿宋_GB2312"/>
      <w:sz w:val="30"/>
    </w:rPr>
  </w:style>
  <w:style w:type="paragraph" w:styleId="852">
    <w:name w:val="Block Text"/>
    <w:basedOn w:val="844"/>
    <w:uiPriority w:val="99"/>
    <w:unhideWhenUsed/>
    <w:qFormat/>
    <w:pPr>
      <w:ind w:left="256" w:right="6" w:firstLine="624"/>
      <w:spacing w:before="100" w:beforeAutospacing="1" w:after="100" w:afterAutospacing="1"/>
    </w:pPr>
    <w:rPr>
      <w:rFonts w:ascii="Times New Roman" w:hAnsi="Times New Roman" w:eastAsia="仿宋"/>
      <w:szCs w:val="28"/>
    </w:rPr>
  </w:style>
  <w:style w:type="paragraph" w:styleId="853">
    <w:name w:val="Plain Text"/>
    <w:basedOn w:val="844"/>
    <w:uiPriority w:val="0"/>
    <w:unhideWhenUsed/>
    <w:qFormat/>
    <w:rPr>
      <w:rFonts w:ascii="宋体" w:hAnsi="Courier New" w:cs="Courier New"/>
      <w:szCs w:val="21"/>
    </w:rPr>
  </w:style>
  <w:style w:type="paragraph" w:styleId="854">
    <w:name w:val="Footer"/>
    <w:basedOn w:val="844"/>
    <w:link w:val="864"/>
    <w:uiPriority w:val="0"/>
    <w:qFormat/>
    <w:pPr>
      <w:jc w:val="left"/>
      <w:tabs>
        <w:tab w:val="center" w:pos="4153" w:leader="none"/>
        <w:tab w:val="right" w:pos="8306" w:leader="none"/>
      </w:tabs>
    </w:pPr>
    <w:rPr>
      <w:sz w:val="18"/>
      <w:szCs w:val="18"/>
    </w:rPr>
  </w:style>
  <w:style w:type="paragraph" w:styleId="855">
    <w:name w:val="Header"/>
    <w:basedOn w:val="844"/>
    <w:link w:val="863"/>
    <w:uiPriority w:val="0"/>
    <w:qFormat/>
    <w:pPr>
      <w:jc w:val="center"/>
      <w:tabs>
        <w:tab w:val="center" w:pos="4153" w:leader="none"/>
        <w:tab w:val="right" w:pos="8306" w:leader="none"/>
      </w:tabs>
      <w:pBdr>
        <w:bottom w:val="single" w:color="auto" w:sz="6" w:space="1"/>
      </w:pBdr>
    </w:pPr>
    <w:rPr>
      <w:sz w:val="18"/>
      <w:szCs w:val="18"/>
    </w:rPr>
  </w:style>
  <w:style w:type="paragraph" w:styleId="856">
    <w:name w:val="Normal (Web)"/>
    <w:basedOn w:val="844"/>
    <w:uiPriority w:val="0"/>
    <w:qFormat/>
    <w:pPr>
      <w:jc w:val="left"/>
      <w:spacing w:beforeAutospacing="1" w:afterAutospacing="1"/>
    </w:pPr>
    <w:rPr>
      <w:rFonts w:cs="Times New Roman"/>
      <w:sz w:val="24"/>
    </w:rPr>
  </w:style>
  <w:style w:type="paragraph" w:styleId="857">
    <w:name w:val="Body Text First Indent"/>
    <w:basedOn w:val="850"/>
    <w:uiPriority w:val="0"/>
    <w:qFormat/>
    <w:pPr>
      <w:ind w:firstLine="420"/>
    </w:pPr>
    <w:rPr>
      <w:sz w:val="28"/>
      <w:szCs w:val="20"/>
    </w:rPr>
  </w:style>
  <w:style w:type="paragraph" w:styleId="858">
    <w:name w:val="Body Text First Indent 2"/>
    <w:basedOn w:val="851"/>
    <w:uiPriority w:val="0"/>
    <w:qFormat/>
    <w:pPr>
      <w:ind w:left="420" w:firstLine="420"/>
      <w:spacing w:before="50" w:after="120"/>
    </w:pPr>
    <w:rPr>
      <w:rFonts w:ascii="Calibri" w:eastAsia="宋体"/>
      <w:szCs w:val="24"/>
    </w:rPr>
  </w:style>
  <w:style w:type="table" w:styleId="859">
    <w:name w:val="Table Grid"/>
    <w:basedOn w:val="848"/>
    <w:uiPriority w:val="3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paragraph" w:styleId="860" w:customStyle="1">
    <w:name w:val="正文首行缩进 21"/>
    <w:basedOn w:val="861"/>
    <w:uiPriority w:val="0"/>
    <w:qFormat/>
    <w:pPr>
      <w:ind w:firstLine="420"/>
    </w:pPr>
  </w:style>
  <w:style w:type="paragraph" w:styleId="861" w:customStyle="1">
    <w:name w:val="正文文本缩进1"/>
    <w:basedOn w:val="844"/>
    <w:next w:val="844"/>
    <w:uiPriority w:val="0"/>
    <w:qFormat/>
    <w:pPr>
      <w:ind w:left="420"/>
      <w:spacing w:after="120"/>
    </w:pPr>
  </w:style>
  <w:style w:type="paragraph" w:styleId="862" w:customStyle="1">
    <w:name w:val="Default"/>
    <w:basedOn w:val="844"/>
    <w:uiPriority w:val="0"/>
    <w:semiHidden/>
    <w:qFormat/>
    <w:pPr>
      <w:jc w:val="left"/>
    </w:pPr>
    <w:rPr>
      <w:rFonts w:ascii="宋体" w:hAnsi="Calibri" w:cs="宋体"/>
      <w:color w:val="000000"/>
      <w:sz w:val="24"/>
    </w:rPr>
  </w:style>
  <w:style w:type="character" w:styleId="863" w:customStyle="1">
    <w:name w:val="页眉 Char"/>
    <w:basedOn w:val="847"/>
    <w:link w:val="855"/>
    <w:uiPriority w:val="0"/>
    <w:qFormat/>
    <w:rPr>
      <w:rFonts w:asciiTheme="minorHAnsi" w:hAnsiTheme="minorHAnsi" w:eastAsiaTheme="minorEastAsia" w:cstheme="minorBidi"/>
      <w:sz w:val="18"/>
      <w:szCs w:val="18"/>
    </w:rPr>
  </w:style>
  <w:style w:type="character" w:styleId="864" w:customStyle="1">
    <w:name w:val="页脚 Char"/>
    <w:basedOn w:val="847"/>
    <w:link w:val="854"/>
    <w:uiPriority w:val="0"/>
    <w:qFormat/>
    <w:rPr>
      <w:rFonts w:asciiTheme="minorHAnsi" w:hAnsiTheme="minorHAnsi" w:eastAsiaTheme="minorEastAsia" w:cstheme="minorBidi"/>
      <w:sz w:val="18"/>
      <w:szCs w:val="18"/>
    </w:rPr>
  </w:style>
  <w:style w:type="paragraph" w:styleId="865" w:customStyle="1">
    <w:name w:val="AONormal"/>
    <w:uiPriority w:val="0"/>
    <w:qFormat/>
    <w:pPr>
      <w:ind w:firstLine="440"/>
      <w:spacing w:line="400" w:lineRule="exact"/>
    </w:pPr>
    <w:rPr>
      <w:rFonts w:ascii="华文楷体" w:hAnsi="华文楷体" w:eastAsia="华文楷体" w:cs="华文楷体"/>
      <w:sz w:val="22"/>
      <w:szCs w:val="21"/>
      <w:lang w:val="en-US" w:eastAsia="zh-CN" w:bidi="ar-SA"/>
    </w:rPr>
  </w:style>
  <w:style w:type="paragraph" w:styleId="866" w:customStyle="1">
    <w:name w:val="页脚1"/>
    <w:basedOn w:val="844"/>
    <w:uiPriority w:val="99"/>
    <w:unhideWhenUsed/>
    <w:qFormat/>
    <w:pPr>
      <w:jc w:val="left"/>
      <w:tabs>
        <w:tab w:val="center" w:pos="4153" w:leader="none"/>
        <w:tab w:val="right" w:pos="8306" w:leader="none"/>
      </w:tabs>
    </w:pPr>
    <w:rPr>
      <w:sz w:val="18"/>
      <w:szCs w:val="18"/>
    </w:rPr>
  </w:style>
  <w:style w:type="paragraph" w:styleId="867" w:customStyle="1">
    <w:name w:val="普通正文"/>
    <w:basedOn w:val="844"/>
    <w:uiPriority w:val="0"/>
    <w:qFormat/>
    <w:pPr>
      <w:ind w:firstLine="480"/>
      <w:jc w:val="left"/>
      <w:spacing w:before="120" w:after="120" w:line="360" w:lineRule="auto"/>
    </w:pPr>
    <w:rPr>
      <w:rFonts w:ascii="Arial" w:hAnsi="Arial" w:eastAsia="等线" w:cs="Arial"/>
      <w:sz w:val="24"/>
      <w:szCs w:val="24"/>
    </w:rPr>
  </w:style>
  <w:style w:type="paragraph" w:styleId="868" w:customStyle="1">
    <w:name w:val="正文文本缩进11"/>
    <w:basedOn w:val="844"/>
    <w:next w:val="869"/>
    <w:uiPriority w:val="0"/>
    <w:qFormat/>
    <w:pPr>
      <w:ind w:left="420"/>
      <w:spacing w:after="120"/>
    </w:pPr>
    <w:rPr>
      <w:sz w:val="24"/>
    </w:rPr>
  </w:style>
  <w:style w:type="paragraph" w:styleId="869" w:customStyle="1">
    <w:name w:val="寄信人地址1"/>
    <w:basedOn w:val="844"/>
    <w:uiPriority w:val="0"/>
    <w:qFormat/>
    <w:rPr>
      <w:rFonts w:ascii="Arial" w:hAnsi="Arial"/>
    </w:rPr>
  </w:style>
  <w:style w:type="paragraph" w:styleId="870" w:customStyle="1">
    <w:name w:val="普通(网站)1"/>
    <w:basedOn w:val="844"/>
    <w:uiPriority w:val="0"/>
    <w:qFormat/>
    <w:rPr>
      <w:rFonts w:ascii="Times New Roman"/>
      <w:szCs w:val="24"/>
    </w:rPr>
  </w:style>
  <w:style w:type="paragraph" w:styleId="871" w:customStyle="1">
    <w:name w:val="样式 首行缩进:  2 字符3"/>
    <w:uiPriority w:val="0"/>
    <w:qFormat/>
    <w:pPr>
      <w:ind w:firstLine="480"/>
      <w:jc w:val="both"/>
      <w:spacing w:line="360" w:lineRule="auto"/>
      <w:widowControl w:val="off"/>
    </w:pPr>
    <w:rPr>
      <w:rFonts w:ascii="宋体" w:hAnsi="Times New Roman" w:eastAsia="宋体" w:cs="宋体"/>
      <w:sz w:val="24"/>
      <w:szCs w:val="24"/>
      <w:lang w:val="en-US" w:eastAsia="zh-CN" w:bidi="ar-SA"/>
    </w:rPr>
  </w:style>
  <w:style w:type="paragraph" w:styleId="872" w:customStyle="1">
    <w:name w:val="正文文本1"/>
    <w:basedOn w:val="844"/>
    <w:uiPriority w:val="0"/>
    <w:unhideWhenUsed/>
    <w:qFormat/>
    <w:pPr>
      <w:spacing w:after="120"/>
    </w:pPr>
    <w:rPr>
      <w:lang w:val="en-US" w:eastAsia="en-US"/>
    </w:rPr>
  </w:style>
  <w:style w:type="numbering" w:styleId="873"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footer" Target="footer1.xml" /><Relationship Id="rId10" Type="http://schemas.openxmlformats.org/officeDocument/2006/relationships/customXml" Target="../customXml/item1.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Arial"/>
        <a:cs typeface="Arial"/>
      </a:majorFont>
      <a:minorFont>
        <a:latin typeface="Calibri"/>
        <a:ea typeface="Arial"/>
        <a:cs typeface="Arial"/>
      </a:minorFont>
    </a:fontScheme>
    <a:fmtScheme name="Office">
      <a:fillStyleLst>
        <a:solidFill>
          <a:schemeClr val="phClr"/>
        </a:solidFill>
        <a:gradFill>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chemeClr val="phClr">
            <a:tint val="95000"/>
            <a:satMod val="170000"/>
          </a:schemeClr>
        </a:solidFill>
        <a:gradFill>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Kingsoft</Company>
  <DocSecurity>0</DocSecurity>
  <LinksUpToDate>false</LinksUpToDate>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正式环境陈艳测试账号</dc:creator>
  <cp:lastModifiedBy>王飞</cp:lastModifiedBy>
  <cp:revision>121</cp:revision>
  <dcterms:created xsi:type="dcterms:W3CDTF">2014-10-29T12:08:00Z</dcterms:created>
  <dcterms:modified xsi:type="dcterms:W3CDTF">2025-11-27T07:31:52Z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2052-12.1.0.23542</vt:lpwstr>
  </property>
  <property fmtid="{D5CDD505-2E9C-101B-9397-08002B2CF9AE}" pid="3" name="ICV">
    <vt:lpwstr>3677CF23C4594648B6AAFEA91775AA99_13</vt:lpwstr>
  </property>
  <property fmtid="{D5CDD505-2E9C-101B-9397-08002B2CF9AE}" pid="4" name="KSOTemplateDocerSaveRecord">
    <vt:lpwstr>eyJoZGlkIjoiODk5OWM3ZjIyNDE1YjQ5MzM5MGQwY2E5NzZiMjFhMjgiLCJ1c2VySWQiOiIyMzcxNTE0ODAifQ==</vt:lpwstr>
  </property>
</Properties>
</file>